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327E0BF5" w:rsidR="00992E96" w:rsidRPr="00BB212B" w:rsidRDefault="0035643B" w:rsidP="0B50786C">
      <w:pPr>
        <w:pStyle w:val="LGAItemNoHeading"/>
        <w:spacing w:before="240"/>
        <w:jc w:val="both"/>
        <w:rPr>
          <w:rFonts w:ascii="Arial" w:hAnsi="Arial" w:cs="Arial"/>
          <w:sz w:val="28"/>
          <w:szCs w:val="28"/>
        </w:rPr>
      </w:pPr>
      <w:r>
        <w:rPr>
          <w:rFonts w:ascii="Arial" w:hAnsi="Arial" w:cs="Arial"/>
          <w:sz w:val="28"/>
          <w:szCs w:val="28"/>
        </w:rPr>
        <w:t>Local Government Finance</w:t>
      </w:r>
      <w:r w:rsidR="00793A69">
        <w:rPr>
          <w:rFonts w:ascii="Arial" w:hAnsi="Arial" w:cs="Arial"/>
          <w:sz w:val="28"/>
          <w:szCs w:val="28"/>
        </w:rPr>
        <w:t xml:space="preserve">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4FA57D77" w:rsidR="00992E96" w:rsidRDefault="001A4541" w:rsidP="0B50786C">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5F9F674"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794647">
        <w:rPr>
          <w:rFonts w:ascii="Arial" w:hAnsi="Arial" w:cs="Arial"/>
        </w:rPr>
        <w:t>comment</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275D9E27" w:rsidR="00992E96" w:rsidRPr="00765850" w:rsidRDefault="00AC367C" w:rsidP="00E81B2D">
      <w:pPr>
        <w:pStyle w:val="MainText"/>
        <w:spacing w:line="240" w:lineRule="auto"/>
        <w:rPr>
          <w:rFonts w:ascii="Arial" w:hAnsi="Arial" w:cs="Arial"/>
        </w:rPr>
      </w:pPr>
      <w:r w:rsidRPr="00AC367C">
        <w:rPr>
          <w:rFonts w:ascii="Arial" w:hAnsi="Arial" w:cs="Arial"/>
        </w:rPr>
        <w:t>This report updates members on progress o</w:t>
      </w:r>
      <w:r w:rsidR="0035643B">
        <w:rPr>
          <w:rFonts w:ascii="Arial" w:hAnsi="Arial" w:cs="Arial"/>
        </w:rPr>
        <w:t>f</w:t>
      </w:r>
      <w:r w:rsidRPr="00AC367C">
        <w:rPr>
          <w:rFonts w:ascii="Arial" w:hAnsi="Arial" w:cs="Arial"/>
        </w:rPr>
        <w:t xml:space="preserve"> the Fair Funding Review and </w:t>
      </w:r>
      <w:r w:rsidR="00776298">
        <w:rPr>
          <w:rFonts w:ascii="Arial" w:hAnsi="Arial" w:cs="Arial"/>
        </w:rPr>
        <w:t xml:space="preserve">further </w:t>
      </w:r>
      <w:r w:rsidRPr="00AC367C">
        <w:rPr>
          <w:rFonts w:ascii="Arial" w:hAnsi="Arial" w:cs="Arial"/>
        </w:rPr>
        <w:t>Business Rates Retention</w:t>
      </w:r>
      <w:r w:rsidR="0035643B">
        <w:rPr>
          <w:rFonts w:ascii="Arial" w:hAnsi="Arial" w:cs="Arial"/>
        </w:rPr>
        <w:t>, as well as other local government finance items not covered elsewhere on the agenda of the Resources Board</w:t>
      </w:r>
      <w:r w:rsidRPr="00AC367C">
        <w:rPr>
          <w:rFonts w:ascii="Arial" w:hAnsi="Arial" w:cs="Arial"/>
        </w:rPr>
        <w:t>.</w:t>
      </w:r>
      <w:r>
        <w:rPr>
          <w:rFonts w:ascii="Arial" w:hAnsi="Arial" w:cs="Arial"/>
        </w:rPr>
        <w:t xml:space="preserve"> </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656BD20B" w:rsidR="00793A69" w:rsidRDefault="00A362F5" w:rsidP="0B50786C">
            <w:pPr>
              <w:pStyle w:val="MainText"/>
              <w:spacing w:line="240" w:lineRule="auto"/>
              <w:jc w:val="both"/>
              <w:rPr>
                <w:rFonts w:ascii="Arial" w:hAnsi="Arial" w:cs="Arial"/>
              </w:rPr>
            </w:pPr>
            <w:r>
              <w:rPr>
                <w:rFonts w:ascii="Arial" w:hAnsi="Arial" w:cs="Arial"/>
              </w:rPr>
              <w:t>That M</w:t>
            </w:r>
            <w:r w:rsidR="0B50786C" w:rsidRPr="0B50786C">
              <w:rPr>
                <w:rFonts w:ascii="Arial" w:hAnsi="Arial" w:cs="Arial"/>
              </w:rPr>
              <w:t>embers</w:t>
            </w:r>
            <w:r w:rsidR="00D91E1D">
              <w:rPr>
                <w:rFonts w:ascii="Arial" w:hAnsi="Arial" w:cs="Arial"/>
              </w:rPr>
              <w:t xml:space="preserve"> of </w:t>
            </w:r>
            <w:r>
              <w:rPr>
                <w:rFonts w:ascii="Arial" w:hAnsi="Arial" w:cs="Arial"/>
              </w:rPr>
              <w:t xml:space="preserve">the </w:t>
            </w:r>
            <w:r w:rsidR="00E81B2D">
              <w:rPr>
                <w:rFonts w:ascii="Arial" w:hAnsi="Arial" w:cs="Arial"/>
              </w:rPr>
              <w:t>Resources Board note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04505200" w:rsidR="00D91E1D" w:rsidRPr="0021114E" w:rsidRDefault="00D91E1D" w:rsidP="007977F7">
            <w:pPr>
              <w:pStyle w:val="MainText"/>
              <w:spacing w:line="240" w:lineRule="auto"/>
              <w:jc w:val="both"/>
              <w:rPr>
                <w:rFonts w:ascii="Arial" w:hAnsi="Arial" w:cs="Arial"/>
                <w:b/>
                <w:szCs w:val="22"/>
              </w:rPr>
            </w:pPr>
            <w:r>
              <w:rPr>
                <w:rFonts w:ascii="Arial" w:hAnsi="Arial" w:cs="Arial"/>
                <w:szCs w:val="22"/>
              </w:rPr>
              <w:t xml:space="preserve">Officers to proceed with delivery of the LGA work programme on </w:t>
            </w:r>
            <w:r w:rsidR="0035643B">
              <w:rPr>
                <w:rFonts w:ascii="Arial" w:hAnsi="Arial" w:cs="Arial"/>
                <w:szCs w:val="22"/>
              </w:rPr>
              <w:t>matters set out in the paper</w:t>
            </w:r>
            <w:r w:rsidR="00D0001F">
              <w:rPr>
                <w:rFonts w:ascii="Arial" w:hAnsi="Arial" w:cs="Arial"/>
                <w:szCs w:val="22"/>
              </w:rPr>
              <w:t xml:space="preserve"> as recommended by the Board</w:t>
            </w:r>
            <w:r>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01A694EB"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Nicola Morton</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6F32E820"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19B10506"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020 7664 3197</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470F1F8B" w:rsidR="00992E96" w:rsidRPr="00E81B2D" w:rsidRDefault="00201D72" w:rsidP="00E81B2D">
            <w:pPr>
              <w:pStyle w:val="MainText"/>
              <w:spacing w:before="120" w:line="240" w:lineRule="auto"/>
              <w:jc w:val="both"/>
              <w:rPr>
                <w:rFonts w:ascii="Arial" w:hAnsi="Arial" w:cs="Arial"/>
                <w:sz w:val="22"/>
                <w:szCs w:val="22"/>
              </w:rPr>
            </w:pPr>
            <w:hyperlink r:id="rId11" w:history="1">
              <w:r w:rsidR="00E81B2D" w:rsidRPr="00E81B2D">
                <w:rPr>
                  <w:rStyle w:val="Hyperlink"/>
                  <w:rFonts w:ascii="Arial" w:hAnsi="Arial" w:cs="Arial"/>
                  <w:sz w:val="22"/>
                  <w:szCs w:val="22"/>
                </w:rPr>
                <w:t>Nicola.morton@local.gov.uk</w:t>
              </w:r>
            </w:hyperlink>
            <w:r w:rsidR="00E81B2D" w:rsidRPr="00E81B2D">
              <w:rPr>
                <w:rFonts w:ascii="Arial" w:hAnsi="Arial" w:cs="Arial"/>
                <w:sz w:val="22"/>
                <w:szCs w:val="22"/>
              </w:rPr>
              <w:t xml:space="preserve"> </w:t>
            </w:r>
            <w:r w:rsidR="002048CA" w:rsidRPr="00E81B2D">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7ED72F85" w14:textId="222315E8" w:rsidR="00463758" w:rsidRPr="00BB212B" w:rsidRDefault="00793A69" w:rsidP="00720BE8">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353E2170" w14:textId="0702D996" w:rsidR="00E77471" w:rsidRPr="00E77471" w:rsidRDefault="0035643B" w:rsidP="0035643B">
      <w:pPr>
        <w:pStyle w:val="MainText"/>
        <w:numPr>
          <w:ilvl w:val="0"/>
          <w:numId w:val="1"/>
        </w:numPr>
        <w:spacing w:line="240" w:lineRule="auto"/>
        <w:rPr>
          <w:rFonts w:ascii="Arial" w:hAnsi="Arial" w:cs="Arial"/>
          <w:szCs w:val="22"/>
        </w:rPr>
      </w:pPr>
      <w:r w:rsidRPr="0035643B">
        <w:rPr>
          <w:rFonts w:ascii="Arial" w:hAnsi="Arial" w:cs="Arial"/>
        </w:rPr>
        <w:t xml:space="preserve">This report updates members on progress of the Fair Funding Review and </w:t>
      </w:r>
      <w:r w:rsidR="00776298">
        <w:rPr>
          <w:rFonts w:ascii="Arial" w:hAnsi="Arial" w:cs="Arial"/>
        </w:rPr>
        <w:t xml:space="preserve">further </w:t>
      </w:r>
      <w:r w:rsidRPr="0035643B">
        <w:rPr>
          <w:rFonts w:ascii="Arial" w:hAnsi="Arial" w:cs="Arial"/>
        </w:rPr>
        <w:t>Business Rates Retention, as well as other local government finance items no</w:t>
      </w:r>
      <w:r>
        <w:rPr>
          <w:rFonts w:ascii="Arial" w:hAnsi="Arial" w:cs="Arial"/>
        </w:rPr>
        <w:t>t</w:t>
      </w:r>
      <w:r w:rsidRPr="0035643B">
        <w:rPr>
          <w:rFonts w:ascii="Arial" w:hAnsi="Arial" w:cs="Arial"/>
        </w:rPr>
        <w:t xml:space="preserve"> covered elsewhere on the agenda of the Resources Board.</w:t>
      </w:r>
    </w:p>
    <w:p w14:paraId="266C0BD6" w14:textId="77777777" w:rsidR="00E77471" w:rsidRDefault="00E77471" w:rsidP="007E7613">
      <w:pPr>
        <w:pStyle w:val="MainText"/>
        <w:spacing w:line="240" w:lineRule="auto"/>
        <w:rPr>
          <w:rFonts w:ascii="Arial" w:hAnsi="Arial" w:cs="Arial"/>
        </w:rPr>
      </w:pPr>
    </w:p>
    <w:p w14:paraId="54DD6EBB" w14:textId="13620119" w:rsidR="00AF7F6D" w:rsidRPr="00E77471" w:rsidRDefault="00E77471" w:rsidP="0035643B">
      <w:pPr>
        <w:pStyle w:val="MainText"/>
        <w:numPr>
          <w:ilvl w:val="0"/>
          <w:numId w:val="1"/>
        </w:numPr>
        <w:spacing w:line="240" w:lineRule="auto"/>
        <w:rPr>
          <w:rFonts w:ascii="Arial" w:hAnsi="Arial" w:cs="Arial"/>
        </w:rPr>
      </w:pPr>
      <w:r>
        <w:rPr>
          <w:rFonts w:ascii="Arial" w:hAnsi="Arial" w:cs="Arial"/>
        </w:rPr>
        <w:t>Policy on further Business Rates Retention and the Fair Funding Review is being developed through the Task and Finish Group on Business Rates Retention and the Fair Funding Review, Leadership Board and Executive.</w:t>
      </w:r>
    </w:p>
    <w:p w14:paraId="68389008" w14:textId="77777777" w:rsidR="00D91E1D" w:rsidRDefault="00D91E1D" w:rsidP="00D91E1D">
      <w:pPr>
        <w:pStyle w:val="ListParagraph"/>
        <w:rPr>
          <w:rFonts w:ascii="Arial" w:hAnsi="Arial" w:cs="Arial"/>
          <w:szCs w:val="22"/>
        </w:rPr>
      </w:pPr>
    </w:p>
    <w:p w14:paraId="72E94C18" w14:textId="77777777" w:rsidR="0035643B" w:rsidRDefault="0035643B" w:rsidP="0035643B">
      <w:pPr>
        <w:rPr>
          <w:rFonts w:ascii="Arial" w:hAnsi="Arial" w:cs="Arial"/>
          <w:b/>
          <w:bCs/>
          <w:szCs w:val="22"/>
        </w:rPr>
      </w:pPr>
      <w:r w:rsidRPr="0035643B">
        <w:rPr>
          <w:rFonts w:ascii="Arial" w:hAnsi="Arial" w:cs="Arial"/>
          <w:b/>
          <w:bCs/>
          <w:szCs w:val="22"/>
        </w:rPr>
        <w:t>Fair Funding Review</w:t>
      </w:r>
    </w:p>
    <w:p w14:paraId="0108A1A3" w14:textId="77777777" w:rsidR="0035643B" w:rsidRPr="0035643B" w:rsidRDefault="0035643B" w:rsidP="0035643B">
      <w:pPr>
        <w:rPr>
          <w:rFonts w:ascii="Arial" w:eastAsia="Arial" w:hAnsi="Arial" w:cs="Arial"/>
          <w:szCs w:val="22"/>
        </w:rPr>
      </w:pPr>
    </w:p>
    <w:p w14:paraId="7B1916F2" w14:textId="77777777" w:rsidR="0035643B" w:rsidRDefault="0035643B" w:rsidP="0035643B">
      <w:pPr>
        <w:rPr>
          <w:rFonts w:ascii="Arial" w:hAnsi="Arial" w:cs="Arial"/>
          <w:bCs/>
          <w:szCs w:val="22"/>
          <w:u w:val="single"/>
        </w:rPr>
      </w:pPr>
      <w:r w:rsidRPr="0035643B">
        <w:rPr>
          <w:rFonts w:ascii="Arial" w:hAnsi="Arial" w:cs="Arial"/>
          <w:bCs/>
          <w:szCs w:val="22"/>
          <w:u w:val="single"/>
        </w:rPr>
        <w:t>Delivery of the LGA Fair Funding Review work programme</w:t>
      </w:r>
    </w:p>
    <w:p w14:paraId="449FA24C" w14:textId="77777777" w:rsidR="0035643B" w:rsidRPr="0035643B" w:rsidRDefault="0035643B" w:rsidP="0035643B">
      <w:pPr>
        <w:rPr>
          <w:rFonts w:ascii="Arial" w:hAnsi="Arial" w:cs="Arial"/>
          <w:bCs/>
          <w:szCs w:val="22"/>
          <w:u w:val="single"/>
        </w:rPr>
      </w:pPr>
    </w:p>
    <w:p w14:paraId="0C924737" w14:textId="31D0D900"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 xml:space="preserve">In November 2017 the LGA’s Executive and Leadership Board agreed a LGA work programme on the Fair Funding Review.  A high level update on this work programme is attached as </w:t>
      </w:r>
      <w:r w:rsidRPr="00A362F5">
        <w:rPr>
          <w:rFonts w:ascii="Arial" w:hAnsi="Arial" w:cs="Arial"/>
          <w:b/>
          <w:szCs w:val="22"/>
          <w:u w:val="single"/>
        </w:rPr>
        <w:t>Appendix A</w:t>
      </w:r>
      <w:r w:rsidRPr="0035643B">
        <w:rPr>
          <w:rFonts w:ascii="Arial" w:hAnsi="Arial" w:cs="Arial"/>
          <w:szCs w:val="22"/>
        </w:rPr>
        <w:t xml:space="preserve"> and the following paragraphs provide more detail.</w:t>
      </w:r>
    </w:p>
    <w:p w14:paraId="62C2C1D9" w14:textId="77777777" w:rsidR="0035643B" w:rsidRPr="0035643B" w:rsidRDefault="0035643B" w:rsidP="0035643B">
      <w:pPr>
        <w:pStyle w:val="ListParagraph"/>
        <w:ind w:left="360"/>
        <w:rPr>
          <w:rFonts w:ascii="Arial" w:hAnsi="Arial" w:cs="Arial"/>
          <w:szCs w:val="22"/>
        </w:rPr>
      </w:pPr>
    </w:p>
    <w:p w14:paraId="64939CDD" w14:textId="43FE622A"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 xml:space="preserve">Work on </w:t>
      </w:r>
      <w:hyperlink r:id="rId18" w:history="1">
        <w:r w:rsidRPr="007E7613">
          <w:rPr>
            <w:rStyle w:val="Hyperlink"/>
            <w:rFonts w:ascii="Arial" w:hAnsi="Arial" w:cs="Arial"/>
            <w:szCs w:val="22"/>
          </w:rPr>
          <w:t>evaluation criteria</w:t>
        </w:r>
      </w:hyperlink>
      <w:r w:rsidRPr="0035643B">
        <w:rPr>
          <w:rFonts w:ascii="Arial" w:hAnsi="Arial" w:cs="Arial"/>
          <w:szCs w:val="22"/>
        </w:rPr>
        <w:t xml:space="preserve"> and the </w:t>
      </w:r>
      <w:hyperlink r:id="rId19" w:history="1">
        <w:r w:rsidRPr="007E7613">
          <w:rPr>
            <w:rStyle w:val="Hyperlink"/>
            <w:rFonts w:ascii="Arial" w:hAnsi="Arial" w:cs="Arial"/>
            <w:szCs w:val="22"/>
          </w:rPr>
          <w:t>divergence of relative needs over time</w:t>
        </w:r>
      </w:hyperlink>
      <w:r w:rsidRPr="0035643B">
        <w:rPr>
          <w:rFonts w:ascii="Arial" w:hAnsi="Arial" w:cs="Arial"/>
          <w:szCs w:val="22"/>
        </w:rPr>
        <w:t xml:space="preserve"> is now complete.</w:t>
      </w:r>
    </w:p>
    <w:p w14:paraId="0DF5ADDE" w14:textId="77777777" w:rsidR="0035643B" w:rsidRPr="0035643B" w:rsidRDefault="0035643B" w:rsidP="0035643B">
      <w:pPr>
        <w:rPr>
          <w:rFonts w:ascii="Arial" w:hAnsi="Arial" w:cs="Arial"/>
          <w:i/>
          <w:szCs w:val="22"/>
        </w:rPr>
      </w:pPr>
    </w:p>
    <w:p w14:paraId="251BE07D" w14:textId="77777777" w:rsidR="0035643B" w:rsidRDefault="0035643B" w:rsidP="0035643B">
      <w:pPr>
        <w:rPr>
          <w:rFonts w:ascii="Arial" w:hAnsi="Arial" w:cs="Arial"/>
          <w:i/>
          <w:szCs w:val="22"/>
        </w:rPr>
      </w:pPr>
      <w:r w:rsidRPr="0035643B">
        <w:rPr>
          <w:rFonts w:ascii="Arial" w:hAnsi="Arial" w:cs="Arial"/>
          <w:i/>
          <w:szCs w:val="22"/>
        </w:rPr>
        <w:t>Relative needs assessment and council tax adjustment models</w:t>
      </w:r>
    </w:p>
    <w:p w14:paraId="7FF1F9C9" w14:textId="77777777" w:rsidR="0035643B" w:rsidRPr="0035643B" w:rsidRDefault="0035643B" w:rsidP="0035643B">
      <w:pPr>
        <w:rPr>
          <w:rFonts w:ascii="Arial" w:hAnsi="Arial" w:cs="Arial"/>
          <w:i/>
          <w:szCs w:val="22"/>
        </w:rPr>
      </w:pPr>
    </w:p>
    <w:p w14:paraId="397FCFC9" w14:textId="77777777"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As agreed at Leadership Board, the LGA commissioned two separate models:</w:t>
      </w:r>
    </w:p>
    <w:p w14:paraId="77532A95" w14:textId="77777777" w:rsidR="0035643B" w:rsidRPr="0035643B" w:rsidRDefault="0035643B" w:rsidP="0035643B">
      <w:pPr>
        <w:pStyle w:val="ListParagraph"/>
        <w:ind w:left="360"/>
        <w:rPr>
          <w:rFonts w:ascii="Arial" w:hAnsi="Arial" w:cs="Arial"/>
          <w:szCs w:val="22"/>
        </w:rPr>
      </w:pPr>
    </w:p>
    <w:p w14:paraId="4C958ACB" w14:textId="77777777" w:rsidR="0035643B" w:rsidRPr="0035643B" w:rsidRDefault="0035643B" w:rsidP="00A362F5">
      <w:pPr>
        <w:pStyle w:val="ListParagraph"/>
        <w:numPr>
          <w:ilvl w:val="1"/>
          <w:numId w:val="1"/>
        </w:numPr>
        <w:ind w:left="851" w:hanging="491"/>
        <w:rPr>
          <w:rFonts w:ascii="Arial" w:hAnsi="Arial" w:cs="Arial"/>
          <w:szCs w:val="22"/>
        </w:rPr>
      </w:pPr>
      <w:r w:rsidRPr="0035643B">
        <w:rPr>
          <w:rFonts w:ascii="Arial" w:hAnsi="Arial" w:cs="Arial"/>
          <w:szCs w:val="22"/>
        </w:rPr>
        <w:t>A needs distribution model to allow local authorities to see the impact of different cost drivers and differential weightings within needs formulae;</w:t>
      </w:r>
    </w:p>
    <w:p w14:paraId="1FFA608B" w14:textId="77777777" w:rsidR="0035643B" w:rsidRPr="0035643B" w:rsidRDefault="0035643B" w:rsidP="00A362F5">
      <w:pPr>
        <w:pStyle w:val="ListParagraph"/>
        <w:ind w:left="851" w:hanging="491"/>
        <w:rPr>
          <w:rFonts w:ascii="Arial" w:hAnsi="Arial" w:cs="Arial"/>
          <w:szCs w:val="22"/>
        </w:rPr>
      </w:pPr>
    </w:p>
    <w:p w14:paraId="63568352" w14:textId="77777777" w:rsidR="0035643B" w:rsidRPr="0035643B" w:rsidRDefault="0035643B" w:rsidP="00A362F5">
      <w:pPr>
        <w:pStyle w:val="ListParagraph"/>
        <w:numPr>
          <w:ilvl w:val="1"/>
          <w:numId w:val="1"/>
        </w:numPr>
        <w:ind w:left="851" w:hanging="491"/>
        <w:rPr>
          <w:rFonts w:ascii="Arial" w:hAnsi="Arial" w:cs="Arial"/>
          <w:szCs w:val="22"/>
        </w:rPr>
      </w:pPr>
      <w:r w:rsidRPr="0035643B">
        <w:rPr>
          <w:rFonts w:ascii="Arial" w:hAnsi="Arial" w:cs="Arial"/>
          <w:szCs w:val="22"/>
        </w:rPr>
        <w:t>A council tax equalisation model to identify the impact of adjustments for council tax and council tax support on individual authorities.</w:t>
      </w:r>
    </w:p>
    <w:p w14:paraId="08F8BDEE" w14:textId="77777777" w:rsidR="0035643B" w:rsidRPr="0035643B" w:rsidRDefault="0035643B" w:rsidP="0035643B">
      <w:pPr>
        <w:pStyle w:val="ListParagraph"/>
        <w:ind w:left="360"/>
        <w:rPr>
          <w:rFonts w:ascii="Arial" w:hAnsi="Arial" w:cs="Arial"/>
          <w:szCs w:val="22"/>
        </w:rPr>
      </w:pPr>
    </w:p>
    <w:p w14:paraId="499AFE78" w14:textId="77777777"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These models provide member authorities with a set of tools to evaluate the impact of future proposals or to enable them to build proposals of their own.  The LGA will also use these tools to see if we can reach agreement on some of these issues.</w:t>
      </w:r>
    </w:p>
    <w:p w14:paraId="5A212579" w14:textId="77777777" w:rsidR="0035643B" w:rsidRPr="0035643B" w:rsidRDefault="0035643B" w:rsidP="0035643B">
      <w:pPr>
        <w:pStyle w:val="ListParagraph"/>
        <w:ind w:left="360"/>
        <w:rPr>
          <w:rFonts w:ascii="Arial" w:hAnsi="Arial" w:cs="Arial"/>
          <w:szCs w:val="22"/>
        </w:rPr>
      </w:pPr>
    </w:p>
    <w:p w14:paraId="44A771AB" w14:textId="7789575A"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 xml:space="preserve">Following clearance by the Task and Finish Group and LGA Group Leaders, </w:t>
      </w:r>
      <w:hyperlink r:id="rId20" w:history="1">
        <w:r w:rsidRPr="007E7613">
          <w:rPr>
            <w:rStyle w:val="Hyperlink"/>
            <w:rFonts w:ascii="Arial" w:hAnsi="Arial" w:cs="Arial"/>
            <w:szCs w:val="22"/>
          </w:rPr>
          <w:t>the models have been published</w:t>
        </w:r>
      </w:hyperlink>
      <w:r w:rsidRPr="0035643B">
        <w:rPr>
          <w:rFonts w:ascii="Arial" w:hAnsi="Arial" w:cs="Arial"/>
          <w:szCs w:val="22"/>
        </w:rPr>
        <w:t xml:space="preserve"> and shared with member authority chief executives and chief finance officers.</w:t>
      </w:r>
    </w:p>
    <w:p w14:paraId="66C0775F" w14:textId="77777777" w:rsidR="0035643B" w:rsidRPr="0035643B" w:rsidRDefault="0035643B" w:rsidP="0035643B">
      <w:pPr>
        <w:rPr>
          <w:rFonts w:ascii="Arial" w:hAnsi="Arial" w:cs="Arial"/>
          <w:szCs w:val="22"/>
          <w:u w:val="single"/>
        </w:rPr>
      </w:pPr>
    </w:p>
    <w:p w14:paraId="00B077F1" w14:textId="0442E2A4" w:rsidR="0035643B" w:rsidRDefault="0035643B" w:rsidP="0035643B">
      <w:pPr>
        <w:keepNext/>
        <w:rPr>
          <w:rFonts w:ascii="Arial" w:hAnsi="Arial" w:cs="Arial"/>
          <w:i/>
          <w:szCs w:val="22"/>
        </w:rPr>
      </w:pPr>
      <w:r w:rsidRPr="0035643B">
        <w:rPr>
          <w:rFonts w:ascii="Arial" w:hAnsi="Arial" w:cs="Arial"/>
          <w:i/>
          <w:szCs w:val="22"/>
        </w:rPr>
        <w:t xml:space="preserve">Transition options </w:t>
      </w:r>
      <w:r w:rsidR="00BE13B5">
        <w:rPr>
          <w:rFonts w:ascii="Arial" w:hAnsi="Arial" w:cs="Arial"/>
          <w:i/>
          <w:szCs w:val="22"/>
        </w:rPr>
        <w:t>review</w:t>
      </w:r>
    </w:p>
    <w:p w14:paraId="489E6769" w14:textId="77777777" w:rsidR="0035643B" w:rsidRPr="0035643B" w:rsidRDefault="0035643B" w:rsidP="0035643B">
      <w:pPr>
        <w:keepNext/>
        <w:rPr>
          <w:rFonts w:ascii="Arial" w:hAnsi="Arial" w:cs="Arial"/>
          <w:i/>
          <w:szCs w:val="22"/>
        </w:rPr>
      </w:pPr>
    </w:p>
    <w:p w14:paraId="21EED429" w14:textId="77777777" w:rsidR="00F212AE" w:rsidRPr="00F212AE" w:rsidRDefault="00F212AE" w:rsidP="00F212AE">
      <w:pPr>
        <w:pStyle w:val="ListParagraph"/>
        <w:numPr>
          <w:ilvl w:val="0"/>
          <w:numId w:val="1"/>
        </w:numPr>
        <w:rPr>
          <w:rFonts w:ascii="Arial" w:hAnsi="Arial" w:cs="Arial"/>
          <w:szCs w:val="22"/>
        </w:rPr>
      </w:pPr>
      <w:r w:rsidRPr="00F212AE">
        <w:rPr>
          <w:rFonts w:ascii="Arial" w:hAnsi="Arial" w:cs="Arial"/>
          <w:szCs w:val="22"/>
        </w:rPr>
        <w:t xml:space="preserve">As agreed at previous meetings of the LGA’s Leadership Board and Executive, officers have commissioned a review of transition methods previously used in the distribution of funding from central government and a model to assess the impact of different methods of moving from the current pattern of funding to the one following the Fair Funding </w:t>
      </w:r>
      <w:r w:rsidRPr="00F212AE">
        <w:rPr>
          <w:rFonts w:ascii="Arial" w:hAnsi="Arial" w:cs="Arial"/>
          <w:szCs w:val="22"/>
        </w:rPr>
        <w:lastRenderedPageBreak/>
        <w:t>Review and introduction of 75 per cent retention.  Suppliers have been appointed to produce this work which we expect to be completed in September.</w:t>
      </w:r>
    </w:p>
    <w:p w14:paraId="5820E43B" w14:textId="7444131E" w:rsidR="0035643B" w:rsidRPr="0035643B" w:rsidRDefault="0035643B" w:rsidP="0035643B">
      <w:pPr>
        <w:pStyle w:val="ListParagraph"/>
        <w:ind w:left="360"/>
        <w:rPr>
          <w:rFonts w:ascii="Arial" w:hAnsi="Arial" w:cs="Arial"/>
          <w:szCs w:val="22"/>
        </w:rPr>
      </w:pPr>
    </w:p>
    <w:p w14:paraId="00E0864A" w14:textId="77777777" w:rsidR="0035643B" w:rsidRDefault="0035643B" w:rsidP="0035643B">
      <w:pPr>
        <w:keepNext/>
        <w:rPr>
          <w:rFonts w:ascii="Arial" w:hAnsi="Arial" w:cs="Arial"/>
          <w:szCs w:val="22"/>
          <w:u w:val="single"/>
        </w:rPr>
      </w:pPr>
      <w:r w:rsidRPr="0035643B">
        <w:rPr>
          <w:rFonts w:ascii="Arial" w:hAnsi="Arial" w:cs="Arial"/>
          <w:szCs w:val="22"/>
          <w:u w:val="single"/>
        </w:rPr>
        <w:t>Fair Funding Review technical working group update</w:t>
      </w:r>
    </w:p>
    <w:p w14:paraId="6C237130" w14:textId="77777777" w:rsidR="0035643B" w:rsidRPr="0035643B" w:rsidRDefault="0035643B" w:rsidP="0035643B">
      <w:pPr>
        <w:keepNext/>
        <w:rPr>
          <w:rFonts w:ascii="Arial" w:hAnsi="Arial" w:cs="Arial"/>
          <w:szCs w:val="22"/>
          <w:u w:val="single"/>
        </w:rPr>
      </w:pPr>
    </w:p>
    <w:p w14:paraId="408C6E65" w14:textId="77777777" w:rsidR="0035643B" w:rsidRPr="0035643B" w:rsidRDefault="0035643B" w:rsidP="0035643B">
      <w:pPr>
        <w:pStyle w:val="ListParagraph"/>
        <w:numPr>
          <w:ilvl w:val="0"/>
          <w:numId w:val="1"/>
        </w:numPr>
        <w:contextualSpacing/>
        <w:rPr>
          <w:rFonts w:ascii="Arial" w:hAnsi="Arial" w:cs="Arial"/>
          <w:szCs w:val="22"/>
        </w:rPr>
      </w:pPr>
      <w:r w:rsidRPr="0035643B">
        <w:rPr>
          <w:rFonts w:ascii="Arial" w:hAnsi="Arial" w:cs="Arial"/>
          <w:szCs w:val="22"/>
        </w:rPr>
        <w:t>The officer-led Fair Funding Review Technical Working Group, attended by officers from all types of local authorities covering all regions and co-chaired by LGA and MHCLG officials, met on 10 July. Over the course of the meeting the group discussed:</w:t>
      </w:r>
    </w:p>
    <w:p w14:paraId="6673E44B" w14:textId="77777777" w:rsidR="0035643B" w:rsidRPr="0035643B" w:rsidRDefault="0035643B" w:rsidP="0035643B">
      <w:pPr>
        <w:contextualSpacing/>
        <w:rPr>
          <w:rFonts w:ascii="Arial" w:hAnsi="Arial" w:cs="Arial"/>
          <w:szCs w:val="22"/>
        </w:rPr>
      </w:pPr>
    </w:p>
    <w:p w14:paraId="070A011E" w14:textId="77777777" w:rsidR="0035643B" w:rsidRPr="0035643B" w:rsidRDefault="0035643B" w:rsidP="0035643B">
      <w:pPr>
        <w:pStyle w:val="ListParagraph"/>
        <w:numPr>
          <w:ilvl w:val="1"/>
          <w:numId w:val="1"/>
        </w:numPr>
        <w:ind w:left="851" w:hanging="567"/>
        <w:rPr>
          <w:rFonts w:ascii="Arial" w:hAnsi="Arial" w:cs="Arial"/>
          <w:szCs w:val="22"/>
        </w:rPr>
      </w:pPr>
      <w:r w:rsidRPr="0035643B">
        <w:rPr>
          <w:rFonts w:ascii="Arial" w:hAnsi="Arial" w:cs="Arial"/>
          <w:szCs w:val="22"/>
        </w:rPr>
        <w:t>The Area Cost Adjustment, its role in future relative needs adjustment formulae and ways to update the analysis;</w:t>
      </w:r>
    </w:p>
    <w:p w14:paraId="25D996A5" w14:textId="77777777" w:rsidR="0035643B" w:rsidRPr="0035643B" w:rsidRDefault="0035643B" w:rsidP="0035643B">
      <w:pPr>
        <w:pStyle w:val="ListParagraph"/>
        <w:ind w:left="851"/>
        <w:rPr>
          <w:rFonts w:ascii="Arial" w:hAnsi="Arial" w:cs="Arial"/>
          <w:szCs w:val="22"/>
        </w:rPr>
      </w:pPr>
    </w:p>
    <w:p w14:paraId="2774FB01" w14:textId="6E77EB89" w:rsidR="0035643B" w:rsidRPr="0035643B" w:rsidRDefault="0035643B" w:rsidP="0035643B">
      <w:pPr>
        <w:pStyle w:val="ListParagraph"/>
        <w:numPr>
          <w:ilvl w:val="1"/>
          <w:numId w:val="1"/>
        </w:numPr>
        <w:ind w:left="851" w:hanging="567"/>
        <w:rPr>
          <w:rFonts w:ascii="Arial" w:hAnsi="Arial" w:cs="Arial"/>
          <w:szCs w:val="22"/>
        </w:rPr>
      </w:pPr>
      <w:r w:rsidRPr="0035643B">
        <w:rPr>
          <w:rFonts w:ascii="Arial" w:hAnsi="Arial" w:cs="Arial"/>
          <w:szCs w:val="22"/>
        </w:rPr>
        <w:t>Principles for future transitional arrangements from one pattern of funding to another</w:t>
      </w:r>
      <w:r w:rsidR="00BF2FDD">
        <w:rPr>
          <w:rFonts w:ascii="Arial" w:hAnsi="Arial" w:cs="Arial"/>
          <w:szCs w:val="22"/>
        </w:rPr>
        <w:t>.  As referred to above the LGA has commissioned work on this issue</w:t>
      </w:r>
      <w:r w:rsidRPr="0035643B">
        <w:rPr>
          <w:rFonts w:ascii="Arial" w:hAnsi="Arial" w:cs="Arial"/>
          <w:szCs w:val="22"/>
        </w:rPr>
        <w:t>;</w:t>
      </w:r>
    </w:p>
    <w:p w14:paraId="4DCE1EA5" w14:textId="77777777" w:rsidR="0035643B" w:rsidRPr="0035643B" w:rsidRDefault="0035643B" w:rsidP="0035643B">
      <w:pPr>
        <w:pStyle w:val="ListParagraph"/>
        <w:ind w:left="851"/>
        <w:rPr>
          <w:rFonts w:ascii="Arial" w:hAnsi="Arial" w:cs="Arial"/>
          <w:szCs w:val="22"/>
        </w:rPr>
      </w:pPr>
    </w:p>
    <w:p w14:paraId="777A6C24" w14:textId="77777777" w:rsidR="0035643B" w:rsidRPr="0035643B" w:rsidRDefault="0035643B" w:rsidP="0035643B">
      <w:pPr>
        <w:pStyle w:val="ListParagraph"/>
        <w:numPr>
          <w:ilvl w:val="1"/>
          <w:numId w:val="1"/>
        </w:numPr>
        <w:ind w:left="851" w:hanging="567"/>
        <w:rPr>
          <w:rFonts w:ascii="Arial" w:hAnsi="Arial" w:cs="Arial"/>
          <w:szCs w:val="22"/>
        </w:rPr>
      </w:pPr>
      <w:r w:rsidRPr="0035643B">
        <w:rPr>
          <w:rFonts w:ascii="Arial" w:hAnsi="Arial" w:cs="Arial"/>
          <w:szCs w:val="22"/>
        </w:rPr>
        <w:t>Treatment of historic supported capital borrowing which predates the 2003 prudential borrowing system. There used to be a specific formula to take this into account in the pre-2013 formula grant system. The technical working group supported using principles similar to the previous formula, with notional debt levels used instead of actuals.</w:t>
      </w:r>
    </w:p>
    <w:p w14:paraId="2E9396DE" w14:textId="77777777" w:rsidR="0035643B" w:rsidRPr="0035643B" w:rsidRDefault="0035643B" w:rsidP="0035643B">
      <w:pPr>
        <w:rPr>
          <w:rFonts w:ascii="Arial" w:hAnsi="Arial" w:cs="Arial"/>
          <w:b/>
          <w:szCs w:val="22"/>
        </w:rPr>
      </w:pPr>
    </w:p>
    <w:p w14:paraId="65F59854" w14:textId="77777777" w:rsidR="0035643B" w:rsidRDefault="0035643B" w:rsidP="0035643B">
      <w:pPr>
        <w:rPr>
          <w:rFonts w:ascii="Arial" w:hAnsi="Arial" w:cs="Arial"/>
          <w:szCs w:val="22"/>
          <w:u w:val="single"/>
        </w:rPr>
      </w:pPr>
      <w:r w:rsidRPr="0035643B">
        <w:rPr>
          <w:rFonts w:ascii="Arial" w:hAnsi="Arial" w:cs="Arial"/>
          <w:szCs w:val="22"/>
          <w:u w:val="single"/>
        </w:rPr>
        <w:t>The Government’s next steps for the Fair Funding Review</w:t>
      </w:r>
    </w:p>
    <w:p w14:paraId="4FF6C2DD" w14:textId="77777777" w:rsidR="0035643B" w:rsidRPr="0035643B" w:rsidRDefault="0035643B" w:rsidP="0035643B">
      <w:pPr>
        <w:rPr>
          <w:rFonts w:ascii="Arial" w:hAnsi="Arial" w:cs="Arial"/>
          <w:szCs w:val="22"/>
          <w:u w:val="single"/>
        </w:rPr>
      </w:pPr>
    </w:p>
    <w:p w14:paraId="19E1BE89" w14:textId="77777777"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 xml:space="preserve">The Government’s work is building towards a wider consultation on the Fair Funding Review, expected in autumn 2018. Government officials have elaborated on the issues the consultation might explore as part of papers to the July 2018 officer-led Steering Group. </w:t>
      </w:r>
    </w:p>
    <w:p w14:paraId="04575674" w14:textId="77777777" w:rsidR="0035643B" w:rsidRPr="0035643B" w:rsidRDefault="0035643B" w:rsidP="0035643B">
      <w:pPr>
        <w:pStyle w:val="ListParagraph"/>
        <w:ind w:left="360"/>
        <w:rPr>
          <w:rFonts w:ascii="Arial" w:hAnsi="Arial" w:cs="Arial"/>
          <w:szCs w:val="22"/>
        </w:rPr>
      </w:pPr>
    </w:p>
    <w:p w14:paraId="259C5AF6" w14:textId="77777777"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The following is subject to Ministerial decision on the scope of the consultation, including the extent to which the Government would identify preferred options at this stage.</w:t>
      </w:r>
    </w:p>
    <w:p w14:paraId="7A5A5965" w14:textId="77777777" w:rsidR="0035643B" w:rsidRPr="0035643B" w:rsidRDefault="0035643B" w:rsidP="0035643B">
      <w:pPr>
        <w:pStyle w:val="ListParagraph"/>
        <w:ind w:left="360"/>
        <w:rPr>
          <w:rFonts w:ascii="Arial" w:hAnsi="Arial" w:cs="Arial"/>
          <w:szCs w:val="22"/>
        </w:rPr>
      </w:pPr>
    </w:p>
    <w:p w14:paraId="77246336" w14:textId="163D06C3"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On the relative needs assessment, the consultation might cover</w:t>
      </w:r>
      <w:r w:rsidR="00117323">
        <w:rPr>
          <w:rFonts w:ascii="Arial" w:hAnsi="Arial" w:cs="Arial"/>
          <w:szCs w:val="22"/>
        </w:rPr>
        <w:t>:</w:t>
      </w:r>
    </w:p>
    <w:p w14:paraId="49FF01A2" w14:textId="77777777" w:rsidR="0035643B" w:rsidRPr="0035643B" w:rsidRDefault="0035643B" w:rsidP="0035643B">
      <w:pPr>
        <w:pStyle w:val="ListParagraph"/>
        <w:rPr>
          <w:rFonts w:ascii="Arial" w:hAnsi="Arial" w:cs="Arial"/>
          <w:szCs w:val="22"/>
        </w:rPr>
      </w:pPr>
    </w:p>
    <w:p w14:paraId="56EE76CC" w14:textId="117269F4" w:rsidR="0035643B" w:rsidRPr="0035643B" w:rsidRDefault="0035643B" w:rsidP="00A362F5">
      <w:pPr>
        <w:pStyle w:val="ListParagraph"/>
        <w:numPr>
          <w:ilvl w:val="1"/>
          <w:numId w:val="1"/>
        </w:numPr>
        <w:spacing w:after="160" w:line="276" w:lineRule="auto"/>
        <w:ind w:left="851" w:hanging="491"/>
        <w:contextualSpacing/>
        <w:rPr>
          <w:rFonts w:ascii="Arial" w:hAnsi="Arial" w:cs="Arial"/>
          <w:szCs w:val="22"/>
        </w:rPr>
      </w:pPr>
      <w:r w:rsidRPr="0035643B">
        <w:rPr>
          <w:rFonts w:ascii="Arial" w:hAnsi="Arial" w:cs="Arial"/>
          <w:szCs w:val="22"/>
        </w:rPr>
        <w:t>The structure of the assessment, including options for tier-specific foundation formulas and formulas to assess specific services. The Government might express a preferred option on this.</w:t>
      </w:r>
    </w:p>
    <w:p w14:paraId="15504CE0" w14:textId="77777777" w:rsidR="0035643B" w:rsidRPr="0035643B" w:rsidRDefault="0035643B" w:rsidP="00A362F5">
      <w:pPr>
        <w:pStyle w:val="ListParagraph"/>
        <w:ind w:left="851" w:hanging="491"/>
        <w:rPr>
          <w:rFonts w:ascii="Arial" w:hAnsi="Arial" w:cs="Arial"/>
          <w:szCs w:val="22"/>
        </w:rPr>
      </w:pPr>
    </w:p>
    <w:p w14:paraId="44A1DBE8" w14:textId="6D57704F" w:rsidR="0035643B" w:rsidRPr="0035643B" w:rsidRDefault="0035643B" w:rsidP="00A362F5">
      <w:pPr>
        <w:pStyle w:val="ListParagraph"/>
        <w:numPr>
          <w:ilvl w:val="1"/>
          <w:numId w:val="1"/>
        </w:numPr>
        <w:spacing w:after="160" w:line="276" w:lineRule="auto"/>
        <w:ind w:left="851" w:hanging="491"/>
        <w:contextualSpacing/>
        <w:rPr>
          <w:rFonts w:ascii="Arial" w:hAnsi="Arial" w:cs="Arial"/>
          <w:szCs w:val="22"/>
        </w:rPr>
      </w:pPr>
      <w:r w:rsidRPr="0035643B">
        <w:rPr>
          <w:rFonts w:ascii="Arial" w:hAnsi="Arial" w:cs="Arial"/>
          <w:szCs w:val="22"/>
        </w:rPr>
        <w:t>The leading cost drivers for inclusion in the above, and a description of proposed analytical techniques to weight them against one another</w:t>
      </w:r>
      <w:r w:rsidR="00117323">
        <w:rPr>
          <w:rFonts w:ascii="Arial" w:hAnsi="Arial" w:cs="Arial"/>
          <w:szCs w:val="22"/>
        </w:rPr>
        <w:t>;</w:t>
      </w:r>
    </w:p>
    <w:p w14:paraId="107E2568" w14:textId="77777777" w:rsidR="0035643B" w:rsidRPr="0035643B" w:rsidRDefault="0035643B" w:rsidP="00A362F5">
      <w:pPr>
        <w:pStyle w:val="ListParagraph"/>
        <w:ind w:left="851" w:hanging="491"/>
        <w:rPr>
          <w:rFonts w:ascii="Arial" w:hAnsi="Arial" w:cs="Arial"/>
          <w:szCs w:val="22"/>
        </w:rPr>
      </w:pPr>
    </w:p>
    <w:p w14:paraId="526DBD41" w14:textId="77777777" w:rsidR="0035643B" w:rsidRPr="0035643B" w:rsidRDefault="0035643B" w:rsidP="00A362F5">
      <w:pPr>
        <w:pStyle w:val="ListParagraph"/>
        <w:numPr>
          <w:ilvl w:val="1"/>
          <w:numId w:val="1"/>
        </w:numPr>
        <w:spacing w:after="160" w:line="276" w:lineRule="auto"/>
        <w:ind w:left="851" w:hanging="491"/>
        <w:contextualSpacing/>
        <w:rPr>
          <w:rFonts w:ascii="Arial" w:hAnsi="Arial" w:cs="Arial"/>
          <w:szCs w:val="22"/>
        </w:rPr>
      </w:pPr>
      <w:r w:rsidRPr="0035643B">
        <w:rPr>
          <w:rFonts w:ascii="Arial" w:hAnsi="Arial" w:cs="Arial"/>
          <w:szCs w:val="22"/>
        </w:rPr>
        <w:t>Commentary on the area cost adjustment.</w:t>
      </w:r>
    </w:p>
    <w:p w14:paraId="57024279" w14:textId="77777777" w:rsidR="0035643B" w:rsidRPr="0035643B" w:rsidRDefault="0035643B" w:rsidP="0035643B">
      <w:pPr>
        <w:pStyle w:val="ListParagraph"/>
        <w:rPr>
          <w:rFonts w:ascii="Arial" w:hAnsi="Arial" w:cs="Arial"/>
          <w:szCs w:val="22"/>
        </w:rPr>
      </w:pPr>
    </w:p>
    <w:p w14:paraId="0CBD1053" w14:textId="77777777"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On the relative resources assessment, the consultation might cover high level approaches to:</w:t>
      </w:r>
    </w:p>
    <w:p w14:paraId="4C27F700" w14:textId="77777777" w:rsidR="0035643B" w:rsidRPr="0035643B" w:rsidRDefault="0035643B" w:rsidP="0035643B">
      <w:pPr>
        <w:pStyle w:val="ListParagraph"/>
        <w:ind w:left="360"/>
        <w:rPr>
          <w:rFonts w:ascii="Arial" w:hAnsi="Arial" w:cs="Arial"/>
          <w:szCs w:val="22"/>
        </w:rPr>
      </w:pPr>
    </w:p>
    <w:p w14:paraId="343B9357" w14:textId="77777777" w:rsidR="0035643B" w:rsidRPr="0035643B" w:rsidRDefault="0035643B" w:rsidP="00A362F5">
      <w:pPr>
        <w:pStyle w:val="ListParagraph"/>
        <w:numPr>
          <w:ilvl w:val="1"/>
          <w:numId w:val="1"/>
        </w:numPr>
        <w:ind w:left="851" w:hanging="491"/>
        <w:rPr>
          <w:rFonts w:ascii="Arial" w:hAnsi="Arial" w:cs="Arial"/>
          <w:szCs w:val="22"/>
        </w:rPr>
      </w:pPr>
      <w:r w:rsidRPr="0035643B">
        <w:rPr>
          <w:rFonts w:ascii="Arial" w:hAnsi="Arial" w:cs="Arial"/>
          <w:szCs w:val="22"/>
        </w:rPr>
        <w:t>Measuring the council tax base, in particular treatment of mandatory and discretionary council tax discounts. This includes local council tax support schemes;</w:t>
      </w:r>
    </w:p>
    <w:p w14:paraId="6C90505D" w14:textId="77777777" w:rsidR="0035643B" w:rsidRPr="0035643B" w:rsidRDefault="0035643B" w:rsidP="00A362F5">
      <w:pPr>
        <w:pStyle w:val="ListParagraph"/>
        <w:ind w:left="851" w:hanging="491"/>
        <w:rPr>
          <w:rFonts w:ascii="Arial" w:hAnsi="Arial" w:cs="Arial"/>
          <w:szCs w:val="22"/>
        </w:rPr>
      </w:pPr>
    </w:p>
    <w:p w14:paraId="7767DEDE" w14:textId="4E7C6928" w:rsidR="0035643B" w:rsidRPr="0035643B" w:rsidRDefault="0035643B" w:rsidP="00A362F5">
      <w:pPr>
        <w:pStyle w:val="ListParagraph"/>
        <w:numPr>
          <w:ilvl w:val="1"/>
          <w:numId w:val="1"/>
        </w:numPr>
        <w:ind w:left="851" w:hanging="491"/>
        <w:rPr>
          <w:rFonts w:ascii="Arial" w:hAnsi="Arial" w:cs="Arial"/>
          <w:szCs w:val="22"/>
        </w:rPr>
      </w:pPr>
      <w:r w:rsidRPr="0035643B">
        <w:rPr>
          <w:rFonts w:ascii="Arial" w:hAnsi="Arial" w:cs="Arial"/>
          <w:szCs w:val="22"/>
        </w:rPr>
        <w:lastRenderedPageBreak/>
        <w:t>The choice of notional or actual council tax levels to be used when calculating the adjustment</w:t>
      </w:r>
      <w:r w:rsidR="00117323">
        <w:rPr>
          <w:rFonts w:ascii="Arial" w:hAnsi="Arial" w:cs="Arial"/>
          <w:szCs w:val="22"/>
        </w:rPr>
        <w:t>;</w:t>
      </w:r>
    </w:p>
    <w:p w14:paraId="66DDD7D1" w14:textId="77777777" w:rsidR="0035643B" w:rsidRPr="0035643B" w:rsidRDefault="0035643B" w:rsidP="00A362F5">
      <w:pPr>
        <w:pStyle w:val="ListParagraph"/>
        <w:ind w:left="851" w:hanging="491"/>
        <w:rPr>
          <w:rFonts w:ascii="Arial" w:hAnsi="Arial" w:cs="Arial"/>
          <w:szCs w:val="22"/>
        </w:rPr>
      </w:pPr>
    </w:p>
    <w:p w14:paraId="67AD5FCA" w14:textId="77777777" w:rsidR="0035643B" w:rsidRPr="0035643B" w:rsidRDefault="0035643B" w:rsidP="00A362F5">
      <w:pPr>
        <w:pStyle w:val="ListParagraph"/>
        <w:numPr>
          <w:ilvl w:val="1"/>
          <w:numId w:val="1"/>
        </w:numPr>
        <w:ind w:left="851" w:hanging="491"/>
        <w:rPr>
          <w:rFonts w:ascii="Arial" w:hAnsi="Arial" w:cs="Arial"/>
          <w:szCs w:val="22"/>
        </w:rPr>
      </w:pPr>
      <w:r w:rsidRPr="0035643B">
        <w:rPr>
          <w:rFonts w:ascii="Arial" w:hAnsi="Arial" w:cs="Arial"/>
          <w:szCs w:val="22"/>
        </w:rPr>
        <w:t>Treatment of other income, such as sales, fees and charges.</w:t>
      </w:r>
    </w:p>
    <w:p w14:paraId="0140B3AF" w14:textId="77777777" w:rsidR="0035643B" w:rsidRPr="0035643B" w:rsidRDefault="0035643B" w:rsidP="0035643B">
      <w:pPr>
        <w:pStyle w:val="ListParagraph"/>
        <w:ind w:left="360"/>
        <w:rPr>
          <w:rFonts w:ascii="Arial" w:hAnsi="Arial" w:cs="Arial"/>
          <w:szCs w:val="22"/>
        </w:rPr>
      </w:pPr>
    </w:p>
    <w:p w14:paraId="2A39F83F" w14:textId="77777777" w:rsidR="0035643B"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On transition, the consultation might cover:</w:t>
      </w:r>
    </w:p>
    <w:p w14:paraId="0CF56128" w14:textId="77777777" w:rsidR="0035643B" w:rsidRPr="0035643B" w:rsidRDefault="0035643B" w:rsidP="0035643B">
      <w:pPr>
        <w:pStyle w:val="ListParagraph"/>
        <w:ind w:left="792"/>
        <w:rPr>
          <w:rFonts w:ascii="Arial" w:hAnsi="Arial" w:cs="Arial"/>
          <w:szCs w:val="22"/>
        </w:rPr>
      </w:pPr>
    </w:p>
    <w:p w14:paraId="3C9CF976" w14:textId="77777777" w:rsidR="0035643B" w:rsidRPr="0035643B" w:rsidRDefault="0035643B" w:rsidP="00A362F5">
      <w:pPr>
        <w:pStyle w:val="ListParagraph"/>
        <w:numPr>
          <w:ilvl w:val="1"/>
          <w:numId w:val="1"/>
        </w:numPr>
        <w:ind w:left="851" w:hanging="491"/>
        <w:rPr>
          <w:rFonts w:ascii="Arial" w:hAnsi="Arial" w:cs="Arial"/>
          <w:szCs w:val="22"/>
        </w:rPr>
      </w:pPr>
      <w:r w:rsidRPr="0035643B">
        <w:rPr>
          <w:rFonts w:ascii="Arial" w:hAnsi="Arial" w:cs="Arial"/>
          <w:szCs w:val="22"/>
        </w:rPr>
        <w:t>High level principles that could underpin the choices of transition mechanism, such as stability, speed, transparency and time limits;</w:t>
      </w:r>
    </w:p>
    <w:p w14:paraId="6D1AEF5B" w14:textId="77777777" w:rsidR="0035643B" w:rsidRPr="0035643B" w:rsidRDefault="0035643B" w:rsidP="00A362F5">
      <w:pPr>
        <w:pStyle w:val="ListParagraph"/>
        <w:ind w:left="851" w:hanging="491"/>
        <w:rPr>
          <w:rFonts w:ascii="Arial" w:hAnsi="Arial" w:cs="Arial"/>
          <w:szCs w:val="22"/>
        </w:rPr>
      </w:pPr>
    </w:p>
    <w:p w14:paraId="3D5D6328" w14:textId="77777777" w:rsidR="0035643B" w:rsidRPr="0035643B" w:rsidRDefault="0035643B" w:rsidP="00A362F5">
      <w:pPr>
        <w:pStyle w:val="ListParagraph"/>
        <w:numPr>
          <w:ilvl w:val="1"/>
          <w:numId w:val="1"/>
        </w:numPr>
        <w:ind w:left="851" w:hanging="491"/>
        <w:rPr>
          <w:rFonts w:ascii="Arial" w:hAnsi="Arial" w:cs="Arial"/>
          <w:szCs w:val="22"/>
        </w:rPr>
      </w:pPr>
      <w:r w:rsidRPr="0035643B">
        <w:rPr>
          <w:rFonts w:ascii="Arial" w:hAnsi="Arial" w:cs="Arial"/>
          <w:szCs w:val="22"/>
        </w:rPr>
        <w:t>The definition and measurement of ‘baseline’ and ‘target’ between which the transition mechanism would be applied to.</w:t>
      </w:r>
    </w:p>
    <w:p w14:paraId="42B1BAFD" w14:textId="77777777" w:rsidR="0035643B" w:rsidRPr="0035643B" w:rsidRDefault="0035643B" w:rsidP="0035643B">
      <w:pPr>
        <w:pStyle w:val="ListParagraph"/>
        <w:ind w:left="360"/>
        <w:rPr>
          <w:rFonts w:ascii="Arial" w:hAnsi="Arial" w:cs="Arial"/>
          <w:szCs w:val="22"/>
        </w:rPr>
      </w:pPr>
    </w:p>
    <w:p w14:paraId="2C453CB8" w14:textId="4BDEDA5F" w:rsidR="00F83D41" w:rsidRPr="0035643B" w:rsidRDefault="0035643B" w:rsidP="0035643B">
      <w:pPr>
        <w:pStyle w:val="ListParagraph"/>
        <w:numPr>
          <w:ilvl w:val="0"/>
          <w:numId w:val="1"/>
        </w:numPr>
        <w:rPr>
          <w:rFonts w:ascii="Arial" w:hAnsi="Arial" w:cs="Arial"/>
          <w:szCs w:val="22"/>
        </w:rPr>
      </w:pPr>
      <w:r w:rsidRPr="0035643B">
        <w:rPr>
          <w:rFonts w:ascii="Arial" w:hAnsi="Arial" w:cs="Arial"/>
          <w:szCs w:val="22"/>
        </w:rPr>
        <w:t>This is in line with the LGA’s work programme on the Fair Funding Review, with the core LGA work programme and meetings of the Business Rates Retention and Fair Funding Review Task and Finish Group all helping explore policy options ahead of the publication of the consultation document.</w:t>
      </w:r>
    </w:p>
    <w:p w14:paraId="393BDCEB" w14:textId="77777777" w:rsidR="0035643B" w:rsidRPr="0035643B" w:rsidRDefault="0035643B" w:rsidP="0035643B">
      <w:pPr>
        <w:rPr>
          <w:rFonts w:ascii="Arial" w:hAnsi="Arial" w:cs="Arial"/>
          <w:b/>
          <w:szCs w:val="22"/>
        </w:rPr>
      </w:pPr>
    </w:p>
    <w:p w14:paraId="528B9D17" w14:textId="3B876DEE" w:rsidR="00766459" w:rsidRPr="00044788" w:rsidRDefault="00EC7ED0">
      <w:pPr>
        <w:rPr>
          <w:rFonts w:ascii="Arial" w:hAnsi="Arial" w:cs="Arial"/>
          <w:b/>
        </w:rPr>
      </w:pPr>
      <w:r w:rsidRPr="00044788">
        <w:rPr>
          <w:rFonts w:ascii="Arial" w:hAnsi="Arial" w:cs="Arial"/>
          <w:b/>
        </w:rPr>
        <w:t>Business Rates R</w:t>
      </w:r>
      <w:r w:rsidR="00766459" w:rsidRPr="00044788">
        <w:rPr>
          <w:rFonts w:ascii="Arial" w:hAnsi="Arial" w:cs="Arial"/>
          <w:b/>
        </w:rPr>
        <w:t>etention</w:t>
      </w:r>
    </w:p>
    <w:p w14:paraId="3FF5ACA1" w14:textId="091CE27A" w:rsidR="00935031" w:rsidRDefault="00935031" w:rsidP="00720BE8">
      <w:pPr>
        <w:rPr>
          <w:rFonts w:ascii="Arial" w:hAnsi="Arial" w:cs="Arial"/>
          <w:b/>
          <w:bCs/>
        </w:rPr>
      </w:pPr>
    </w:p>
    <w:p w14:paraId="2606BC95" w14:textId="77777777" w:rsidR="00FB5BE3" w:rsidRPr="00044788" w:rsidRDefault="00FB5BE3">
      <w:pPr>
        <w:rPr>
          <w:rFonts w:ascii="Arial" w:hAnsi="Arial" w:cs="Arial"/>
          <w:u w:val="single"/>
        </w:rPr>
      </w:pPr>
      <w:r w:rsidRPr="00044788">
        <w:rPr>
          <w:rFonts w:ascii="Arial" w:hAnsi="Arial" w:cs="Arial"/>
          <w:u w:val="single"/>
        </w:rPr>
        <w:t>Commissioning a business rates retention model</w:t>
      </w:r>
      <w:r w:rsidRPr="00044788">
        <w:rPr>
          <w:rFonts w:ascii="Arial" w:hAnsi="Arial" w:cs="Arial" w:hint="eastAsia"/>
          <w:u w:val="single"/>
        </w:rPr>
        <w:t> </w:t>
      </w:r>
    </w:p>
    <w:p w14:paraId="6B7D5B05" w14:textId="6BEF792D" w:rsidR="00FB5BE3" w:rsidRPr="00FB5BE3" w:rsidRDefault="00FB5BE3" w:rsidP="00FB5BE3">
      <w:pPr>
        <w:rPr>
          <w:rFonts w:ascii="Arial" w:hAnsi="Arial" w:cs="Arial"/>
          <w:bCs/>
          <w:u w:val="single"/>
        </w:rPr>
      </w:pPr>
    </w:p>
    <w:p w14:paraId="4319C62D" w14:textId="6471B6DA" w:rsidR="00FB5BE3" w:rsidRPr="00F212AE" w:rsidRDefault="00044788" w:rsidP="00044788">
      <w:pPr>
        <w:pStyle w:val="ListParagraph"/>
        <w:numPr>
          <w:ilvl w:val="0"/>
          <w:numId w:val="1"/>
        </w:numPr>
        <w:rPr>
          <w:rFonts w:ascii="Arial" w:hAnsi="Arial" w:cs="Arial"/>
          <w:szCs w:val="22"/>
        </w:rPr>
      </w:pPr>
      <w:r>
        <w:rPr>
          <w:rFonts w:ascii="Arial" w:hAnsi="Arial" w:cs="Arial"/>
          <w:szCs w:val="22"/>
        </w:rPr>
        <w:t xml:space="preserve">In </w:t>
      </w:r>
      <w:r w:rsidR="00FB5BE3" w:rsidRPr="007E7613">
        <w:rPr>
          <w:rFonts w:ascii="Arial" w:hAnsi="Arial" w:cs="Arial"/>
          <w:szCs w:val="22"/>
        </w:rPr>
        <w:t>April</w:t>
      </w:r>
      <w:r>
        <w:rPr>
          <w:rFonts w:ascii="Arial" w:hAnsi="Arial" w:cs="Arial"/>
          <w:szCs w:val="22"/>
        </w:rPr>
        <w:t xml:space="preserve"> Leadership Board agreed to the LGA </w:t>
      </w:r>
      <w:r w:rsidR="000904FA">
        <w:rPr>
          <w:rFonts w:ascii="Arial" w:hAnsi="Arial" w:cs="Arial"/>
          <w:szCs w:val="22"/>
        </w:rPr>
        <w:t>commissioning</w:t>
      </w:r>
      <w:r w:rsidR="00FB5BE3" w:rsidRPr="007E7613">
        <w:rPr>
          <w:rFonts w:ascii="Arial" w:hAnsi="Arial" w:cs="Arial"/>
          <w:szCs w:val="22"/>
        </w:rPr>
        <w:t xml:space="preserve"> a business </w:t>
      </w:r>
      <w:r>
        <w:rPr>
          <w:rFonts w:ascii="Arial" w:hAnsi="Arial" w:cs="Arial"/>
          <w:szCs w:val="22"/>
        </w:rPr>
        <w:t xml:space="preserve">rates retention model to enable </w:t>
      </w:r>
      <w:r w:rsidR="00FB5BE3" w:rsidRPr="007E7613">
        <w:rPr>
          <w:rFonts w:ascii="Arial" w:hAnsi="Arial" w:cs="Arial"/>
          <w:szCs w:val="22"/>
        </w:rPr>
        <w:t>the effect of possib</w:t>
      </w:r>
      <w:r>
        <w:rPr>
          <w:rFonts w:ascii="Arial" w:hAnsi="Arial" w:cs="Arial"/>
          <w:szCs w:val="22"/>
        </w:rPr>
        <w:t xml:space="preserve">le systems design changes to be estimated.  Following a tendering exercise </w:t>
      </w:r>
      <w:proofErr w:type="spellStart"/>
      <w:r w:rsidR="00FB5BE3" w:rsidRPr="007E7613">
        <w:rPr>
          <w:rFonts w:ascii="Arial" w:hAnsi="Arial" w:cs="Arial"/>
          <w:szCs w:val="22"/>
        </w:rPr>
        <w:t>LGFutures</w:t>
      </w:r>
      <w:proofErr w:type="spellEnd"/>
      <w:r>
        <w:rPr>
          <w:rFonts w:ascii="Arial" w:hAnsi="Arial" w:cs="Arial"/>
          <w:szCs w:val="22"/>
        </w:rPr>
        <w:t xml:space="preserve"> </w:t>
      </w:r>
      <w:r w:rsidR="00FB5BE3" w:rsidRPr="007E7613">
        <w:rPr>
          <w:rFonts w:ascii="Arial" w:hAnsi="Arial" w:cs="Arial"/>
          <w:szCs w:val="22"/>
        </w:rPr>
        <w:t>were commissioned to produce the model. A working version was demonstrated at the meeting of the Business Rates Retention Task and Finish Group on 12 September.</w:t>
      </w:r>
      <w:r>
        <w:rPr>
          <w:rFonts w:ascii="Arial" w:hAnsi="Arial" w:cs="Arial"/>
          <w:szCs w:val="22"/>
        </w:rPr>
        <w:t xml:space="preserve"> </w:t>
      </w:r>
      <w:r w:rsidR="00FB5BE3" w:rsidRPr="007E7613">
        <w:rPr>
          <w:rFonts w:ascii="Arial" w:hAnsi="Arial" w:cs="Arial"/>
          <w:szCs w:val="22"/>
        </w:rPr>
        <w:t>Following</w:t>
      </w:r>
      <w:r>
        <w:rPr>
          <w:rFonts w:ascii="Arial" w:hAnsi="Arial" w:cs="Arial"/>
          <w:szCs w:val="22"/>
        </w:rPr>
        <w:t xml:space="preserve"> </w:t>
      </w:r>
      <w:r w:rsidR="00FB5BE3" w:rsidRPr="007E7613">
        <w:rPr>
          <w:rFonts w:ascii="Arial" w:hAnsi="Arial" w:cs="Arial"/>
          <w:szCs w:val="22"/>
        </w:rPr>
        <w:t>feedback</w:t>
      </w:r>
      <w:r>
        <w:rPr>
          <w:rFonts w:ascii="Arial" w:hAnsi="Arial" w:cs="Arial"/>
          <w:szCs w:val="22"/>
        </w:rPr>
        <w:t xml:space="preserve"> </w:t>
      </w:r>
      <w:r w:rsidR="00FB5BE3" w:rsidRPr="007E7613">
        <w:rPr>
          <w:rFonts w:ascii="Arial" w:hAnsi="Arial" w:cs="Arial"/>
          <w:szCs w:val="22"/>
        </w:rPr>
        <w:t>from the Task and Finish</w:t>
      </w:r>
      <w:r>
        <w:rPr>
          <w:rFonts w:ascii="Arial" w:hAnsi="Arial" w:cs="Arial"/>
          <w:szCs w:val="22"/>
        </w:rPr>
        <w:t xml:space="preserve"> </w:t>
      </w:r>
      <w:r w:rsidR="00FB5BE3" w:rsidRPr="007E7613">
        <w:rPr>
          <w:rFonts w:ascii="Arial" w:hAnsi="Arial" w:cs="Arial"/>
          <w:szCs w:val="22"/>
        </w:rPr>
        <w:t>Group</w:t>
      </w:r>
      <w:r>
        <w:rPr>
          <w:rFonts w:ascii="Arial" w:hAnsi="Arial" w:cs="Arial"/>
          <w:szCs w:val="22"/>
        </w:rPr>
        <w:t xml:space="preserve"> </w:t>
      </w:r>
      <w:r w:rsidR="00FB5BE3" w:rsidRPr="007E7613">
        <w:rPr>
          <w:rFonts w:ascii="Arial" w:hAnsi="Arial" w:cs="Arial"/>
          <w:szCs w:val="22"/>
        </w:rPr>
        <w:t>officers will work with the suppliers to make</w:t>
      </w:r>
      <w:r>
        <w:rPr>
          <w:rFonts w:ascii="Arial" w:hAnsi="Arial" w:cs="Arial"/>
          <w:szCs w:val="22"/>
        </w:rPr>
        <w:t xml:space="preserve"> </w:t>
      </w:r>
      <w:r w:rsidR="00FB5BE3" w:rsidRPr="007E7613">
        <w:rPr>
          <w:rFonts w:ascii="Arial" w:hAnsi="Arial" w:cs="Arial"/>
          <w:szCs w:val="22"/>
        </w:rPr>
        <w:t>refinements to the model.</w:t>
      </w:r>
      <w:r>
        <w:rPr>
          <w:rFonts w:ascii="Arial" w:hAnsi="Arial" w:cs="Arial"/>
          <w:szCs w:val="22"/>
        </w:rPr>
        <w:t xml:space="preserve"> </w:t>
      </w:r>
      <w:r w:rsidR="00FB5BE3" w:rsidRPr="007E7613">
        <w:rPr>
          <w:rFonts w:ascii="Arial" w:hAnsi="Arial" w:cs="Arial"/>
          <w:szCs w:val="22"/>
        </w:rPr>
        <w:t xml:space="preserve"> </w:t>
      </w:r>
      <w:r>
        <w:rPr>
          <w:rFonts w:ascii="Arial" w:hAnsi="Arial" w:cs="Arial"/>
          <w:szCs w:val="22"/>
        </w:rPr>
        <w:t xml:space="preserve">Following political clearance of the model it </w:t>
      </w:r>
      <w:r w:rsidR="00FB5BE3" w:rsidRPr="00F212AE">
        <w:rPr>
          <w:rFonts w:ascii="Arial" w:hAnsi="Arial" w:cs="Arial"/>
          <w:szCs w:val="22"/>
        </w:rPr>
        <w:t>will</w:t>
      </w:r>
      <w:r>
        <w:rPr>
          <w:rFonts w:ascii="Arial" w:hAnsi="Arial" w:cs="Arial"/>
          <w:szCs w:val="22"/>
        </w:rPr>
        <w:t xml:space="preserve"> </w:t>
      </w:r>
      <w:r w:rsidR="00FB5BE3" w:rsidRPr="00F212AE">
        <w:rPr>
          <w:rFonts w:ascii="Arial" w:hAnsi="Arial" w:cs="Arial"/>
          <w:szCs w:val="22"/>
        </w:rPr>
        <w:t>be</w:t>
      </w:r>
      <w:r>
        <w:rPr>
          <w:rFonts w:ascii="Arial" w:hAnsi="Arial" w:cs="Arial"/>
          <w:szCs w:val="22"/>
        </w:rPr>
        <w:t xml:space="preserve"> </w:t>
      </w:r>
      <w:r w:rsidR="00FB5BE3" w:rsidRPr="00F212AE">
        <w:rPr>
          <w:rFonts w:ascii="Arial" w:hAnsi="Arial" w:cs="Arial"/>
          <w:szCs w:val="22"/>
        </w:rPr>
        <w:t>placed on the LGA Business Rates Retention Hub alongside the other models commissioned by the LGA.</w:t>
      </w:r>
      <w:r>
        <w:rPr>
          <w:rFonts w:ascii="Arial" w:hAnsi="Arial" w:cs="Arial"/>
          <w:szCs w:val="22"/>
        </w:rPr>
        <w:t xml:space="preserve"> </w:t>
      </w:r>
      <w:r w:rsidR="00FB5BE3" w:rsidRPr="00F212AE">
        <w:rPr>
          <w:rFonts w:ascii="Arial" w:hAnsi="Arial" w:cs="Arial"/>
          <w:szCs w:val="22"/>
        </w:rPr>
        <w:t>Further updates will be given to</w:t>
      </w:r>
      <w:r>
        <w:rPr>
          <w:rFonts w:ascii="Arial" w:hAnsi="Arial" w:cs="Arial"/>
          <w:szCs w:val="22"/>
        </w:rPr>
        <w:t xml:space="preserve"> Resources Board at a future meeting.</w:t>
      </w:r>
    </w:p>
    <w:p w14:paraId="773EF14F" w14:textId="77777777" w:rsidR="00FB5BE3" w:rsidRDefault="00FB5BE3" w:rsidP="00FB5BE3">
      <w:pPr>
        <w:rPr>
          <w:rFonts w:ascii="Arial" w:hAnsi="Arial" w:cs="Arial"/>
          <w:bCs/>
        </w:rPr>
      </w:pPr>
    </w:p>
    <w:p w14:paraId="15A2A0AA" w14:textId="77777777" w:rsidR="00FB5BE3" w:rsidRPr="001F2984" w:rsidRDefault="00FB5BE3">
      <w:pPr>
        <w:rPr>
          <w:rFonts w:ascii="Arial" w:hAnsi="Arial" w:cs="Arial"/>
          <w:u w:val="single"/>
        </w:rPr>
      </w:pPr>
      <w:r w:rsidRPr="001F2984">
        <w:rPr>
          <w:rFonts w:ascii="Arial" w:hAnsi="Arial" w:cs="Arial"/>
          <w:u w:val="single"/>
        </w:rPr>
        <w:t>2019/20 pilots</w:t>
      </w:r>
    </w:p>
    <w:p w14:paraId="1AFA5F72" w14:textId="77777777" w:rsidR="00FB5BE3" w:rsidRPr="00FB5BE3" w:rsidRDefault="00FB5BE3">
      <w:pPr>
        <w:rPr>
          <w:rFonts w:ascii="Arial" w:hAnsi="Arial" w:cs="Arial"/>
          <w:bCs/>
        </w:rPr>
      </w:pPr>
    </w:p>
    <w:p w14:paraId="311D4615" w14:textId="548EBF45" w:rsidR="00B26650" w:rsidRPr="00F212AE" w:rsidRDefault="00FB5BE3" w:rsidP="003127D4">
      <w:pPr>
        <w:pStyle w:val="ListParagraph"/>
        <w:numPr>
          <w:ilvl w:val="0"/>
          <w:numId w:val="1"/>
        </w:numPr>
        <w:rPr>
          <w:rFonts w:ascii="Arial" w:hAnsi="Arial" w:cs="Arial"/>
          <w:szCs w:val="22"/>
        </w:rPr>
      </w:pPr>
      <w:r w:rsidRPr="007E7613">
        <w:rPr>
          <w:rFonts w:ascii="Arial" w:hAnsi="Arial" w:cs="Arial"/>
          <w:szCs w:val="22"/>
        </w:rPr>
        <w:t>The prospectus inviting areas to bid to become a further business rates retention pilot was published on 24 July 2018.  Applications for 75 per cent p</w:t>
      </w:r>
      <w:r w:rsidR="003127D4">
        <w:rPr>
          <w:rFonts w:ascii="Arial" w:hAnsi="Arial" w:cs="Arial"/>
          <w:szCs w:val="22"/>
        </w:rPr>
        <w:t xml:space="preserve">ilots are being invited with a </w:t>
      </w:r>
      <w:r w:rsidRPr="007E7613">
        <w:rPr>
          <w:rFonts w:ascii="Arial" w:hAnsi="Arial" w:cs="Arial"/>
          <w:szCs w:val="22"/>
        </w:rPr>
        <w:t xml:space="preserve">closing date of 25 September 2018.  It should be noted that the five 2017/18 devolution pilots will continue at 100 per cent and there will be separate discussions covering London. </w:t>
      </w:r>
      <w:r w:rsidR="00B26650" w:rsidRPr="007E7613">
        <w:rPr>
          <w:rFonts w:ascii="Arial" w:hAnsi="Arial" w:cs="Arial"/>
          <w:szCs w:val="22"/>
        </w:rPr>
        <w:t xml:space="preserve">Non-London </w:t>
      </w:r>
      <w:r w:rsidRPr="007E7613">
        <w:rPr>
          <w:rFonts w:ascii="Arial" w:hAnsi="Arial" w:cs="Arial"/>
          <w:szCs w:val="22"/>
        </w:rPr>
        <w:t xml:space="preserve">2018/19 pilots will need to reapply if they wish to be a pilot in 2019/20.  Unlike in 2017/18 and 2018/19 there will not be a no-detriment clause.  </w:t>
      </w:r>
      <w:r w:rsidR="00B26650" w:rsidRPr="00A60C1E">
        <w:rPr>
          <w:rFonts w:ascii="Arial" w:hAnsi="Arial" w:cs="Arial"/>
          <w:szCs w:val="22"/>
        </w:rPr>
        <w:t>At the time of writing, LGA and MHCLG officers were organising a joint event on 3rd September where senior officers from authorities considering making applications will have the opportunity to learn more about the pilots and process.</w:t>
      </w:r>
    </w:p>
    <w:p w14:paraId="2FC94552" w14:textId="1C441CC0" w:rsidR="00B26650" w:rsidRDefault="00B26650">
      <w:pPr>
        <w:rPr>
          <w:rFonts w:ascii="Arial" w:hAnsi="Arial" w:cs="Arial"/>
          <w:szCs w:val="22"/>
        </w:rPr>
      </w:pPr>
    </w:p>
    <w:p w14:paraId="64A154EE" w14:textId="75DA2445" w:rsidR="00826D51" w:rsidRPr="003127D4" w:rsidRDefault="00826D51">
      <w:pPr>
        <w:rPr>
          <w:rFonts w:ascii="Arial" w:hAnsi="Arial" w:cs="Arial"/>
          <w:szCs w:val="22"/>
          <w:u w:val="single"/>
        </w:rPr>
      </w:pPr>
      <w:r w:rsidRPr="003127D4">
        <w:rPr>
          <w:rFonts w:ascii="Arial" w:hAnsi="Arial" w:cs="Arial"/>
          <w:szCs w:val="22"/>
          <w:u w:val="single"/>
        </w:rPr>
        <w:t>Other business rates retention updates</w:t>
      </w:r>
    </w:p>
    <w:p w14:paraId="3AD0C31E" w14:textId="77777777" w:rsidR="00826D51" w:rsidRPr="007E7613" w:rsidRDefault="00826D51">
      <w:pPr>
        <w:rPr>
          <w:rFonts w:ascii="Arial" w:hAnsi="Arial" w:cs="Arial"/>
          <w:szCs w:val="22"/>
        </w:rPr>
      </w:pPr>
    </w:p>
    <w:p w14:paraId="13F32E3B" w14:textId="03F4320F" w:rsidR="009D21ED" w:rsidRPr="009D21ED" w:rsidRDefault="009D21ED" w:rsidP="009D21ED">
      <w:pPr>
        <w:pStyle w:val="ListParagraph"/>
        <w:numPr>
          <w:ilvl w:val="0"/>
          <w:numId w:val="1"/>
        </w:numPr>
        <w:rPr>
          <w:rFonts w:ascii="Arial" w:hAnsi="Arial" w:cs="Arial"/>
          <w:szCs w:val="22"/>
        </w:rPr>
      </w:pPr>
      <w:r w:rsidRPr="009D21ED">
        <w:rPr>
          <w:rFonts w:ascii="Arial" w:hAnsi="Arial" w:cs="Arial"/>
          <w:szCs w:val="22"/>
        </w:rPr>
        <w:t xml:space="preserve">The joint MHCLG / LGA officer Business Rates Retention Steering Group continues to meet regularly to oversee the programme of further Business Rates Retention and the Fair Funding Review. Working under the Steering Group, the Systems Design Working Group </w:t>
      </w:r>
      <w:r w:rsidR="00761D39">
        <w:rPr>
          <w:rFonts w:ascii="Arial" w:hAnsi="Arial" w:cs="Arial"/>
          <w:szCs w:val="22"/>
        </w:rPr>
        <w:t>is continuing its detailed</w:t>
      </w:r>
      <w:r w:rsidRPr="009D21ED">
        <w:rPr>
          <w:rFonts w:ascii="Arial" w:hAnsi="Arial" w:cs="Arial"/>
          <w:szCs w:val="22"/>
        </w:rPr>
        <w:t xml:space="preserve"> consideration of the issues</w:t>
      </w:r>
      <w:r w:rsidR="00A9638E">
        <w:rPr>
          <w:rFonts w:ascii="Arial" w:hAnsi="Arial" w:cs="Arial"/>
          <w:szCs w:val="22"/>
        </w:rPr>
        <w:t xml:space="preserve"> and an Implementation </w:t>
      </w:r>
      <w:r w:rsidR="00A9638E">
        <w:rPr>
          <w:rFonts w:ascii="Arial" w:hAnsi="Arial" w:cs="Arial"/>
          <w:szCs w:val="22"/>
        </w:rPr>
        <w:lastRenderedPageBreak/>
        <w:t xml:space="preserve">Working Group has been set up to consider some of the more technical aspects of implementing further business </w:t>
      </w:r>
      <w:r w:rsidR="00045E33">
        <w:rPr>
          <w:rFonts w:ascii="Arial" w:hAnsi="Arial" w:cs="Arial"/>
          <w:szCs w:val="22"/>
        </w:rPr>
        <w:t>ra</w:t>
      </w:r>
      <w:r w:rsidR="00A9638E">
        <w:rPr>
          <w:rFonts w:ascii="Arial" w:hAnsi="Arial" w:cs="Arial"/>
          <w:szCs w:val="22"/>
        </w:rPr>
        <w:t>tes retention</w:t>
      </w:r>
      <w:r w:rsidRPr="009D21ED">
        <w:rPr>
          <w:rFonts w:ascii="Arial" w:hAnsi="Arial" w:cs="Arial"/>
          <w:szCs w:val="22"/>
        </w:rPr>
        <w:t>.</w:t>
      </w:r>
      <w:r w:rsidR="00A9638E">
        <w:rPr>
          <w:rFonts w:ascii="Arial" w:hAnsi="Arial" w:cs="Arial"/>
          <w:szCs w:val="22"/>
        </w:rPr>
        <w:t xml:space="preserve"> </w:t>
      </w:r>
      <w:r w:rsidRPr="009D21ED">
        <w:rPr>
          <w:rFonts w:ascii="Arial" w:hAnsi="Arial" w:cs="Arial"/>
          <w:szCs w:val="22"/>
        </w:rPr>
        <w:t xml:space="preserve"> Since the last meeting of Resources Board the groups have discussed: </w:t>
      </w:r>
    </w:p>
    <w:p w14:paraId="31265039" w14:textId="77777777" w:rsidR="00761D39" w:rsidRDefault="00761D39" w:rsidP="00761D39">
      <w:pPr>
        <w:pStyle w:val="ListParagraph"/>
        <w:ind w:left="792"/>
        <w:rPr>
          <w:rFonts w:ascii="Arial" w:hAnsi="Arial" w:cs="Arial"/>
          <w:szCs w:val="22"/>
        </w:rPr>
      </w:pPr>
    </w:p>
    <w:p w14:paraId="738BC067" w14:textId="4D07B1D0" w:rsidR="00331D2E" w:rsidRPr="007E7613" w:rsidRDefault="000D394B" w:rsidP="00A362F5">
      <w:pPr>
        <w:pStyle w:val="ListParagraph"/>
        <w:numPr>
          <w:ilvl w:val="1"/>
          <w:numId w:val="1"/>
        </w:numPr>
        <w:ind w:left="851" w:hanging="491"/>
        <w:rPr>
          <w:rFonts w:ascii="Arial" w:hAnsi="Arial" w:cs="Arial"/>
          <w:szCs w:val="22"/>
        </w:rPr>
      </w:pPr>
      <w:r>
        <w:rPr>
          <w:rFonts w:ascii="Arial" w:hAnsi="Arial" w:cs="Arial"/>
          <w:szCs w:val="22"/>
        </w:rPr>
        <w:t>D</w:t>
      </w:r>
      <w:r w:rsidR="00331D2E" w:rsidRPr="007E7613">
        <w:rPr>
          <w:rFonts w:ascii="Arial" w:hAnsi="Arial" w:cs="Arial"/>
          <w:szCs w:val="22"/>
        </w:rPr>
        <w:t xml:space="preserve">ifferent options for resets, including consideration of how to balance desirable criteria such as simplicity, rewarding growth and allowing for needs; </w:t>
      </w:r>
    </w:p>
    <w:p w14:paraId="61902418" w14:textId="77777777" w:rsidR="00331D2E" w:rsidRPr="007E7613" w:rsidRDefault="00331D2E" w:rsidP="00A362F5">
      <w:pPr>
        <w:pStyle w:val="ListParagraph"/>
        <w:ind w:left="851" w:hanging="491"/>
        <w:rPr>
          <w:rFonts w:ascii="Arial" w:hAnsi="Arial" w:cs="Arial"/>
          <w:szCs w:val="22"/>
        </w:rPr>
      </w:pPr>
    </w:p>
    <w:p w14:paraId="536121FC" w14:textId="13DF9C6B" w:rsidR="00331D2E" w:rsidRDefault="000D394B" w:rsidP="00A362F5">
      <w:pPr>
        <w:pStyle w:val="ListParagraph"/>
        <w:numPr>
          <w:ilvl w:val="1"/>
          <w:numId w:val="1"/>
        </w:numPr>
        <w:ind w:left="851" w:hanging="491"/>
        <w:rPr>
          <w:rFonts w:ascii="Arial" w:hAnsi="Arial" w:cs="Arial"/>
          <w:bCs/>
        </w:rPr>
      </w:pPr>
      <w:r>
        <w:rPr>
          <w:rFonts w:ascii="Arial" w:hAnsi="Arial" w:cs="Arial"/>
          <w:szCs w:val="22"/>
        </w:rPr>
        <w:t>O</w:t>
      </w:r>
      <w:r w:rsidR="00331D2E" w:rsidRPr="007E7613">
        <w:rPr>
          <w:rFonts w:ascii="Arial" w:hAnsi="Arial" w:cs="Arial"/>
          <w:szCs w:val="22"/>
        </w:rPr>
        <w:t>ptions for pooling, looking at how pools can be incentivised in the a</w:t>
      </w:r>
      <w:r w:rsidR="00331D2E" w:rsidRPr="00A60C1E">
        <w:rPr>
          <w:rFonts w:ascii="Arial" w:hAnsi="Arial" w:cs="Arial"/>
          <w:szCs w:val="22"/>
        </w:rPr>
        <w:t xml:space="preserve">bsence of a levy.  </w:t>
      </w:r>
      <w:r w:rsidR="00331D2E" w:rsidRPr="00331D2E">
        <w:rPr>
          <w:rFonts w:ascii="Arial" w:hAnsi="Arial" w:cs="Arial"/>
          <w:bCs/>
        </w:rPr>
        <w:t>Local authority representatives felt that fiscal freedoms, such as the ability to change the conditions of grants and to vary the capital and revenue split, would be the most powerful.</w:t>
      </w:r>
    </w:p>
    <w:p w14:paraId="7B7C530E" w14:textId="77777777" w:rsidR="000D394B" w:rsidRPr="000D394B" w:rsidRDefault="000D394B" w:rsidP="00A362F5">
      <w:pPr>
        <w:pStyle w:val="ListParagraph"/>
        <w:ind w:left="851" w:hanging="491"/>
        <w:rPr>
          <w:rFonts w:ascii="Arial" w:hAnsi="Arial" w:cs="Arial"/>
          <w:bCs/>
        </w:rPr>
      </w:pPr>
    </w:p>
    <w:p w14:paraId="60F2247A" w14:textId="21E5F80F" w:rsidR="00826D51" w:rsidRDefault="000D394B" w:rsidP="00A362F5">
      <w:pPr>
        <w:pStyle w:val="ListParagraph"/>
        <w:numPr>
          <w:ilvl w:val="1"/>
          <w:numId w:val="1"/>
        </w:numPr>
        <w:ind w:left="851" w:hanging="491"/>
        <w:rPr>
          <w:rFonts w:ascii="Arial" w:hAnsi="Arial" w:cs="Arial"/>
          <w:szCs w:val="22"/>
        </w:rPr>
      </w:pPr>
      <w:r>
        <w:rPr>
          <w:rFonts w:ascii="Arial" w:hAnsi="Arial" w:cs="Arial"/>
          <w:szCs w:val="22"/>
        </w:rPr>
        <w:t xml:space="preserve">A proposal for simplifying business rates retention.  </w:t>
      </w:r>
      <w:r w:rsidR="00BF0960" w:rsidRPr="000D394B">
        <w:rPr>
          <w:rFonts w:ascii="Arial" w:hAnsi="Arial" w:cs="Arial"/>
          <w:szCs w:val="22"/>
        </w:rPr>
        <w:t xml:space="preserve">It was agreed that further work needed doing on </w:t>
      </w:r>
      <w:r>
        <w:rPr>
          <w:rFonts w:ascii="Arial" w:hAnsi="Arial" w:cs="Arial"/>
          <w:szCs w:val="22"/>
        </w:rPr>
        <w:t>this and it will be the topic of future papers to the groups. We will keep members up to date on these discussions</w:t>
      </w:r>
      <w:r w:rsidR="00BF0960" w:rsidRPr="000D394B">
        <w:rPr>
          <w:rFonts w:ascii="Arial" w:hAnsi="Arial" w:cs="Arial"/>
          <w:szCs w:val="22"/>
        </w:rPr>
        <w:t>.</w:t>
      </w:r>
    </w:p>
    <w:p w14:paraId="16D62582" w14:textId="77777777" w:rsidR="00BF0960" w:rsidRDefault="00BF0960" w:rsidP="00BF0960">
      <w:pPr>
        <w:pStyle w:val="ListParagraph"/>
        <w:ind w:left="360"/>
        <w:rPr>
          <w:rFonts w:ascii="Arial" w:hAnsi="Arial" w:cs="Arial"/>
          <w:szCs w:val="22"/>
        </w:rPr>
      </w:pPr>
    </w:p>
    <w:p w14:paraId="2B7D91AD" w14:textId="1215FECE" w:rsidR="00826D51" w:rsidRPr="00826D51" w:rsidRDefault="00826D51" w:rsidP="001F2984">
      <w:pPr>
        <w:pStyle w:val="ListParagraph"/>
        <w:numPr>
          <w:ilvl w:val="0"/>
          <w:numId w:val="1"/>
        </w:numPr>
        <w:rPr>
          <w:rFonts w:ascii="Arial" w:hAnsi="Arial" w:cs="Arial"/>
          <w:szCs w:val="22"/>
        </w:rPr>
      </w:pPr>
      <w:r w:rsidRPr="00826D51">
        <w:rPr>
          <w:rFonts w:ascii="Arial" w:hAnsi="Arial" w:cs="Arial"/>
          <w:szCs w:val="22"/>
        </w:rPr>
        <w:t xml:space="preserve">Further discussions at the Systems Design Working Group will inform a consultation </w:t>
      </w:r>
      <w:r w:rsidR="00711FCA">
        <w:rPr>
          <w:rFonts w:ascii="Arial" w:hAnsi="Arial" w:cs="Arial"/>
          <w:szCs w:val="22"/>
        </w:rPr>
        <w:t>paper</w:t>
      </w:r>
      <w:r w:rsidRPr="00826D51">
        <w:rPr>
          <w:rFonts w:ascii="Arial" w:hAnsi="Arial" w:cs="Arial"/>
          <w:szCs w:val="22"/>
        </w:rPr>
        <w:t xml:space="preserve"> </w:t>
      </w:r>
      <w:r w:rsidR="0019312A">
        <w:rPr>
          <w:rFonts w:ascii="Arial" w:hAnsi="Arial" w:cs="Arial"/>
          <w:szCs w:val="22"/>
        </w:rPr>
        <w:t>expected to be published later this year.  This</w:t>
      </w:r>
      <w:r w:rsidRPr="00826D51">
        <w:rPr>
          <w:rFonts w:ascii="Arial" w:hAnsi="Arial" w:cs="Arial"/>
          <w:szCs w:val="22"/>
        </w:rPr>
        <w:t xml:space="preserve"> is expected to consist of a proposed overall package, individual elements of the system such as resets, tier splits, safety nets and treatment of appeals, and also a consideration of what long term reforms, requiring primary legislation, would be beneficial.</w:t>
      </w:r>
    </w:p>
    <w:p w14:paraId="07E45EC8" w14:textId="12766646" w:rsidR="00E06575" w:rsidRPr="001F2984" w:rsidRDefault="00E06575">
      <w:pPr>
        <w:pStyle w:val="ListParagraph"/>
        <w:ind w:left="360"/>
        <w:rPr>
          <w:rFonts w:ascii="Arial" w:hAnsi="Arial" w:cs="Arial"/>
          <w:szCs w:val="22"/>
        </w:rPr>
      </w:pPr>
    </w:p>
    <w:p w14:paraId="10405EC2" w14:textId="7470A587" w:rsidR="0035643B" w:rsidRDefault="0035643B" w:rsidP="0035643B">
      <w:pPr>
        <w:rPr>
          <w:rFonts w:ascii="Arial" w:hAnsi="Arial" w:cs="Arial"/>
          <w:b/>
          <w:bCs/>
        </w:rPr>
      </w:pPr>
      <w:r>
        <w:rPr>
          <w:rFonts w:ascii="Arial" w:hAnsi="Arial" w:cs="Arial"/>
          <w:b/>
          <w:bCs/>
        </w:rPr>
        <w:t>Other matters</w:t>
      </w:r>
    </w:p>
    <w:p w14:paraId="107FF4DF" w14:textId="77777777" w:rsidR="0035643B" w:rsidRDefault="0035643B" w:rsidP="0035643B">
      <w:pPr>
        <w:rPr>
          <w:rFonts w:ascii="Arial" w:hAnsi="Arial" w:cs="Arial"/>
          <w:b/>
          <w:bCs/>
        </w:rPr>
      </w:pPr>
    </w:p>
    <w:p w14:paraId="17E1D1ED" w14:textId="6B34FEC3" w:rsidR="0035643B" w:rsidRPr="001F2984" w:rsidRDefault="0065748B" w:rsidP="0035643B">
      <w:pPr>
        <w:pStyle w:val="ListParagraph"/>
        <w:numPr>
          <w:ilvl w:val="0"/>
          <w:numId w:val="1"/>
        </w:numPr>
        <w:rPr>
          <w:rFonts w:ascii="Arial" w:hAnsi="Arial" w:cs="Arial"/>
        </w:rPr>
      </w:pPr>
      <w:r w:rsidRPr="001F2984">
        <w:rPr>
          <w:rFonts w:ascii="Arial" w:hAnsi="Arial" w:cs="Arial"/>
        </w:rPr>
        <w:t xml:space="preserve">In July </w:t>
      </w:r>
      <w:proofErr w:type="spellStart"/>
      <w:r w:rsidRPr="001F2984">
        <w:rPr>
          <w:rFonts w:ascii="Arial" w:hAnsi="Arial" w:cs="Arial"/>
        </w:rPr>
        <w:t>Cipfa</w:t>
      </w:r>
      <w:proofErr w:type="spellEnd"/>
      <w:r w:rsidRPr="001F2984">
        <w:rPr>
          <w:rFonts w:ascii="Arial" w:hAnsi="Arial" w:cs="Arial"/>
        </w:rPr>
        <w:t xml:space="preserve"> published a consultation on proposals to produce a financial resilience index for English councils. Resources Board lead members approved the LGA’s response (link?) to the consultation. While we welcome any tools that help councils monitor and measure their finances we are concerned that such an index will be used (incorrectly) as a performance table for councils even though this is not </w:t>
      </w:r>
      <w:proofErr w:type="spellStart"/>
      <w:r w:rsidRPr="001F2984">
        <w:rPr>
          <w:rFonts w:ascii="Arial" w:hAnsi="Arial" w:cs="Arial"/>
        </w:rPr>
        <w:t>Cipfa’s</w:t>
      </w:r>
      <w:proofErr w:type="spellEnd"/>
      <w:r w:rsidRPr="001F2984">
        <w:rPr>
          <w:rFonts w:ascii="Arial" w:hAnsi="Arial" w:cs="Arial"/>
        </w:rPr>
        <w:t xml:space="preserve"> intention. We have therefore started discussions with </w:t>
      </w:r>
      <w:proofErr w:type="spellStart"/>
      <w:r w:rsidRPr="001F2984">
        <w:rPr>
          <w:rFonts w:ascii="Arial" w:hAnsi="Arial" w:cs="Arial"/>
        </w:rPr>
        <w:t>Cipfa</w:t>
      </w:r>
      <w:proofErr w:type="spellEnd"/>
      <w:r w:rsidRPr="001F2984">
        <w:rPr>
          <w:rFonts w:ascii="Arial" w:hAnsi="Arial" w:cs="Arial"/>
        </w:rPr>
        <w:t xml:space="preserve"> about alternative ways that the data could be published. </w:t>
      </w:r>
    </w:p>
    <w:p w14:paraId="41D388D4" w14:textId="712691E4" w:rsidR="0065748B" w:rsidRPr="001F2984" w:rsidRDefault="0065748B" w:rsidP="0065748B">
      <w:pPr>
        <w:pStyle w:val="ListParagraph"/>
        <w:ind w:left="360"/>
        <w:rPr>
          <w:rFonts w:ascii="Arial" w:hAnsi="Arial" w:cs="Arial"/>
        </w:rPr>
      </w:pPr>
      <w:r w:rsidRPr="001F2984">
        <w:rPr>
          <w:rFonts w:ascii="Arial" w:hAnsi="Arial" w:cs="Arial"/>
        </w:rPr>
        <w:t xml:space="preserve"> </w:t>
      </w:r>
    </w:p>
    <w:p w14:paraId="3C10F227" w14:textId="6EB30030" w:rsidR="0065748B" w:rsidRPr="001F2984" w:rsidRDefault="000736D2" w:rsidP="0035643B">
      <w:pPr>
        <w:pStyle w:val="ListParagraph"/>
        <w:numPr>
          <w:ilvl w:val="0"/>
          <w:numId w:val="1"/>
        </w:numPr>
        <w:rPr>
          <w:rFonts w:ascii="Arial" w:hAnsi="Arial" w:cs="Arial"/>
        </w:rPr>
      </w:pPr>
      <w:r w:rsidRPr="001F2984">
        <w:rPr>
          <w:rFonts w:ascii="Arial" w:hAnsi="Arial" w:cs="Arial"/>
        </w:rPr>
        <w:t>Following calls from the</w:t>
      </w:r>
      <w:r w:rsidR="0065748B" w:rsidRPr="001F2984">
        <w:rPr>
          <w:rFonts w:ascii="Arial" w:hAnsi="Arial" w:cs="Arial"/>
        </w:rPr>
        <w:t xml:space="preserve"> LGA and </w:t>
      </w:r>
      <w:r w:rsidRPr="001F2984">
        <w:rPr>
          <w:rFonts w:ascii="Arial" w:hAnsi="Arial" w:cs="Arial"/>
        </w:rPr>
        <w:t>from others in the sector, the Go</w:t>
      </w:r>
      <w:r w:rsidR="0065748B" w:rsidRPr="001F2984">
        <w:rPr>
          <w:rFonts w:ascii="Arial" w:hAnsi="Arial" w:cs="Arial"/>
        </w:rPr>
        <w:t>vernment is consulting on a statutory override</w:t>
      </w:r>
      <w:r w:rsidRPr="001F2984">
        <w:rPr>
          <w:rFonts w:ascii="Arial" w:hAnsi="Arial" w:cs="Arial"/>
        </w:rPr>
        <w:t xml:space="preserve"> for councils to the implementation of aspects of International Reporting Standard 9 (IFRS 9). The proposed response to the consultation is an item elsewhere on today’s agenda.</w:t>
      </w:r>
    </w:p>
    <w:p w14:paraId="2AC471A5" w14:textId="77777777" w:rsidR="000736D2" w:rsidRPr="001F2984" w:rsidRDefault="000736D2" w:rsidP="000736D2">
      <w:pPr>
        <w:pStyle w:val="ListParagraph"/>
        <w:rPr>
          <w:rFonts w:ascii="Arial" w:hAnsi="Arial" w:cs="Arial"/>
        </w:rPr>
      </w:pPr>
    </w:p>
    <w:p w14:paraId="78ADCDA9" w14:textId="1081FB28" w:rsidR="000736D2" w:rsidRPr="001F2984" w:rsidRDefault="000736D2" w:rsidP="0035643B">
      <w:pPr>
        <w:pStyle w:val="ListParagraph"/>
        <w:numPr>
          <w:ilvl w:val="0"/>
          <w:numId w:val="1"/>
        </w:numPr>
        <w:rPr>
          <w:rFonts w:ascii="Arial" w:hAnsi="Arial" w:cs="Arial"/>
        </w:rPr>
      </w:pPr>
      <w:r w:rsidRPr="001F2984">
        <w:rPr>
          <w:rFonts w:ascii="Arial" w:hAnsi="Arial" w:cs="Arial"/>
        </w:rPr>
        <w:t>Following the success of this year’s conference in January, the date for the next LGA annual Local Government Finance Conference has been confirmed. It will be held on Tuesday 9 January 2019 in the conference suite at 18 Smith Square. The focus of the conference will be the Spending Review 2019, together with the Fair Funding Review and further Business Rates Retention.</w:t>
      </w:r>
    </w:p>
    <w:p w14:paraId="4F249954" w14:textId="77777777" w:rsidR="00504406" w:rsidRPr="00504406" w:rsidRDefault="00504406" w:rsidP="00504406">
      <w:pPr>
        <w:rPr>
          <w:rFonts w:ascii="Arial" w:hAnsi="Arial" w:cs="Arial"/>
        </w:rPr>
      </w:pPr>
    </w:p>
    <w:p w14:paraId="1CAC3322" w14:textId="77777777" w:rsidR="004C3803" w:rsidRPr="002048CA" w:rsidRDefault="004C3803" w:rsidP="00720BE8">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010EB572" w:rsidR="004C3803" w:rsidRPr="002048CA" w:rsidRDefault="004C3803" w:rsidP="00720BE8">
      <w:pPr>
        <w:pStyle w:val="ListParagraph"/>
        <w:numPr>
          <w:ilvl w:val="0"/>
          <w:numId w:val="1"/>
        </w:numPr>
        <w:contextualSpacing/>
        <w:rPr>
          <w:rFonts w:ascii="Arial" w:hAnsi="Arial" w:cs="Arial"/>
        </w:rPr>
      </w:pPr>
      <w:r w:rsidRPr="0B50786C">
        <w:rPr>
          <w:rFonts w:ascii="Arial" w:hAnsi="Arial" w:cs="Arial"/>
        </w:rPr>
        <w:t>There are no direct implications for Wales arising from this report</w:t>
      </w:r>
      <w:r w:rsidR="00AC63E8">
        <w:rPr>
          <w:rFonts w:ascii="Arial" w:hAnsi="Arial" w:cs="Arial"/>
        </w:rPr>
        <w:t xml:space="preserve"> as business rates retention and the Fair Funding Review apply to England</w:t>
      </w:r>
      <w:r w:rsidR="00BA75E7">
        <w:rPr>
          <w:rFonts w:ascii="Arial" w:hAnsi="Arial" w:cs="Arial"/>
        </w:rPr>
        <w:t xml:space="preserve">, </w:t>
      </w:r>
      <w:r w:rsidR="003D3E95">
        <w:rPr>
          <w:rFonts w:ascii="Arial" w:hAnsi="Arial" w:cs="Arial"/>
        </w:rPr>
        <w:t xml:space="preserve">and </w:t>
      </w:r>
      <w:r w:rsidR="00BA75E7">
        <w:rPr>
          <w:rFonts w:ascii="Arial" w:hAnsi="Arial" w:cs="Arial"/>
        </w:rPr>
        <w:t xml:space="preserve">the </w:t>
      </w:r>
      <w:proofErr w:type="spellStart"/>
      <w:r w:rsidR="00BA75E7">
        <w:rPr>
          <w:rFonts w:ascii="Arial" w:hAnsi="Arial" w:cs="Arial"/>
        </w:rPr>
        <w:t>Cipfa</w:t>
      </w:r>
      <w:proofErr w:type="spellEnd"/>
      <w:r w:rsidR="00BA75E7">
        <w:rPr>
          <w:rFonts w:ascii="Arial" w:hAnsi="Arial" w:cs="Arial"/>
        </w:rPr>
        <w:t xml:space="preserve"> resi</w:t>
      </w:r>
      <w:r w:rsidR="009462AD">
        <w:rPr>
          <w:rFonts w:ascii="Arial" w:hAnsi="Arial" w:cs="Arial"/>
        </w:rPr>
        <w:t>li</w:t>
      </w:r>
      <w:r w:rsidR="00BA75E7">
        <w:rPr>
          <w:rFonts w:ascii="Arial" w:hAnsi="Arial" w:cs="Arial"/>
        </w:rPr>
        <w:t xml:space="preserve">ence index and the IFRS statutory </w:t>
      </w:r>
      <w:r w:rsidR="003D3E95">
        <w:rPr>
          <w:rFonts w:ascii="Arial" w:hAnsi="Arial" w:cs="Arial"/>
        </w:rPr>
        <w:t xml:space="preserve">override </w:t>
      </w:r>
      <w:r w:rsidR="00BA75E7">
        <w:rPr>
          <w:rFonts w:ascii="Arial" w:hAnsi="Arial" w:cs="Arial"/>
        </w:rPr>
        <w:t>are for England only</w:t>
      </w:r>
      <w:r w:rsidRPr="0B50786C">
        <w:rPr>
          <w:rFonts w:ascii="Arial" w:hAnsi="Arial" w:cs="Arial"/>
        </w:rPr>
        <w:t>. The</w:t>
      </w:r>
      <w:r>
        <w:rPr>
          <w:rFonts w:ascii="Arial" w:hAnsi="Arial" w:cs="Arial"/>
        </w:rPr>
        <w:t xml:space="preserve"> distribution of funding to</w:t>
      </w:r>
      <w:r w:rsidRPr="0B50786C">
        <w:rPr>
          <w:rFonts w:ascii="Arial" w:hAnsi="Arial" w:cs="Arial"/>
        </w:rPr>
        <w:t xml:space="preserve"> Welsh local authorities is a devolved matter in Wales. </w:t>
      </w:r>
    </w:p>
    <w:p w14:paraId="579D41E3" w14:textId="77777777" w:rsidR="004C3803" w:rsidRDefault="004C3803" w:rsidP="00720BE8">
      <w:pPr>
        <w:contextualSpacing/>
        <w:rPr>
          <w:rFonts w:ascii="Arial" w:hAnsi="Arial" w:cs="Arial"/>
          <w:b/>
          <w:bCs/>
        </w:rPr>
      </w:pPr>
    </w:p>
    <w:p w14:paraId="2FC047B6" w14:textId="6E294911" w:rsidR="00483785" w:rsidRPr="002048CA" w:rsidRDefault="0B50786C" w:rsidP="00720BE8">
      <w:pPr>
        <w:contextualSpacing/>
        <w:rPr>
          <w:rFonts w:ascii="Arial" w:hAnsi="Arial" w:cs="Arial"/>
          <w:b/>
          <w:bCs/>
        </w:rPr>
      </w:pPr>
      <w:r w:rsidRPr="0B50786C">
        <w:rPr>
          <w:rFonts w:ascii="Arial" w:hAnsi="Arial" w:cs="Arial"/>
          <w:b/>
          <w:bCs/>
        </w:rPr>
        <w:lastRenderedPageBreak/>
        <w:t>Financial implications</w:t>
      </w:r>
    </w:p>
    <w:p w14:paraId="7E3FBC57" w14:textId="77777777" w:rsidR="00483785" w:rsidRPr="002048CA" w:rsidRDefault="00483785" w:rsidP="00720BE8">
      <w:pPr>
        <w:contextualSpacing/>
        <w:rPr>
          <w:rFonts w:ascii="Arial" w:hAnsi="Arial" w:cs="Arial"/>
          <w:b/>
        </w:rPr>
      </w:pPr>
    </w:p>
    <w:p w14:paraId="2E633B83" w14:textId="321E8B58" w:rsidR="00935031" w:rsidRDefault="00DE06FF" w:rsidP="00720BE8">
      <w:pPr>
        <w:pStyle w:val="ListParagraph"/>
        <w:numPr>
          <w:ilvl w:val="0"/>
          <w:numId w:val="1"/>
        </w:numPr>
        <w:contextualSpacing/>
        <w:rPr>
          <w:rFonts w:ascii="Arial" w:hAnsi="Arial" w:cs="Arial"/>
        </w:rPr>
      </w:pPr>
      <w:r>
        <w:rPr>
          <w:rFonts w:ascii="Arial" w:hAnsi="Arial" w:cs="Arial"/>
        </w:rPr>
        <w:t>Members of Leadership Board have previously approved spending of LGA reserves on the LGA work programme on the Fair Funding Review</w:t>
      </w:r>
      <w:r w:rsidR="00504406">
        <w:rPr>
          <w:rFonts w:ascii="Arial" w:hAnsi="Arial" w:cs="Arial"/>
        </w:rPr>
        <w:t xml:space="preserve"> and commi</w:t>
      </w:r>
      <w:r w:rsidR="009E561E">
        <w:rPr>
          <w:rFonts w:ascii="Arial" w:hAnsi="Arial" w:cs="Arial"/>
        </w:rPr>
        <w:t>ssioning of a B</w:t>
      </w:r>
      <w:r w:rsidR="00504406">
        <w:rPr>
          <w:rFonts w:ascii="Arial" w:hAnsi="Arial" w:cs="Arial"/>
        </w:rPr>
        <w:t xml:space="preserve">usiness </w:t>
      </w:r>
      <w:r w:rsidR="009E561E">
        <w:rPr>
          <w:rFonts w:ascii="Arial" w:hAnsi="Arial" w:cs="Arial"/>
        </w:rPr>
        <w:t xml:space="preserve">Rates Retention </w:t>
      </w:r>
      <w:r w:rsidR="00504406">
        <w:rPr>
          <w:rFonts w:ascii="Arial" w:hAnsi="Arial" w:cs="Arial"/>
        </w:rPr>
        <w:t>model</w:t>
      </w:r>
      <w:r>
        <w:rPr>
          <w:rFonts w:ascii="Arial" w:hAnsi="Arial" w:cs="Arial"/>
        </w:rPr>
        <w:t xml:space="preserve">. </w:t>
      </w:r>
    </w:p>
    <w:p w14:paraId="2813BCB3" w14:textId="77777777" w:rsidR="00504406" w:rsidRDefault="00504406" w:rsidP="00504406">
      <w:pPr>
        <w:pStyle w:val="ListParagraph"/>
        <w:ind w:left="360"/>
        <w:contextualSpacing/>
        <w:rPr>
          <w:rFonts w:ascii="Arial" w:hAnsi="Arial" w:cs="Arial"/>
        </w:rPr>
      </w:pPr>
    </w:p>
    <w:p w14:paraId="6AE7941C" w14:textId="7835612F" w:rsidR="00E76BCF" w:rsidRPr="00ED561E" w:rsidRDefault="00935031" w:rsidP="00483184">
      <w:pPr>
        <w:pStyle w:val="ListParagraph"/>
        <w:numPr>
          <w:ilvl w:val="0"/>
          <w:numId w:val="1"/>
        </w:numPr>
        <w:spacing w:after="160" w:line="259" w:lineRule="auto"/>
        <w:contextualSpacing/>
        <w:rPr>
          <w:rFonts w:ascii="Arial" w:hAnsi="Arial" w:cs="Arial"/>
        </w:rPr>
      </w:pPr>
      <w:r w:rsidRPr="00ED561E">
        <w:rPr>
          <w:rFonts w:ascii="Arial" w:hAnsi="Arial" w:cs="Arial"/>
        </w:rPr>
        <w:t xml:space="preserve">Other </w:t>
      </w:r>
      <w:r w:rsidR="0B50786C" w:rsidRPr="00ED561E">
        <w:rPr>
          <w:rFonts w:ascii="Arial" w:hAnsi="Arial" w:cs="Arial"/>
        </w:rPr>
        <w:t xml:space="preserve">work </w:t>
      </w:r>
      <w:r w:rsidRPr="00ED561E">
        <w:rPr>
          <w:rFonts w:ascii="Arial" w:hAnsi="Arial" w:cs="Arial"/>
        </w:rPr>
        <w:t xml:space="preserve">outlined in the paper above </w:t>
      </w:r>
      <w:r w:rsidR="0B50786C" w:rsidRPr="00ED561E">
        <w:rPr>
          <w:rFonts w:ascii="Arial" w:hAnsi="Arial" w:cs="Arial"/>
        </w:rPr>
        <w:t xml:space="preserve">is part of the LGA’s core programme of work and as such has been budgeted for in </w:t>
      </w:r>
      <w:r w:rsidR="00A362F5">
        <w:rPr>
          <w:rFonts w:ascii="Arial" w:hAnsi="Arial" w:cs="Arial"/>
        </w:rPr>
        <w:t>the 2018/19 budget.</w:t>
      </w:r>
    </w:p>
    <w:sectPr w:rsidR="00E76BCF" w:rsidRPr="00ED561E"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69128" w16cid:durableId="1EB199EB"/>
  <w16cid:commentId w16cid:paraId="4473B574" w16cid:durableId="1EB199EC"/>
  <w16cid:commentId w16cid:paraId="2AFE7FB0" w16cid:durableId="1EB199ED"/>
  <w16cid:commentId w16cid:paraId="00754541" w16cid:durableId="1EB199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8AAFF" w14:textId="77777777" w:rsidR="009D21ED" w:rsidRDefault="009D21ED">
      <w:r>
        <w:separator/>
      </w:r>
    </w:p>
  </w:endnote>
  <w:endnote w:type="continuationSeparator" w:id="0">
    <w:p w14:paraId="441473AE" w14:textId="77777777" w:rsidR="009D21ED" w:rsidRDefault="009D21ED">
      <w:r>
        <w:continuationSeparator/>
      </w:r>
    </w:p>
  </w:endnote>
  <w:endnote w:type="continuationNotice" w:id="1">
    <w:p w14:paraId="1AF135E7" w14:textId="77777777" w:rsidR="009D21ED" w:rsidRDefault="009D2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A34A" w14:textId="77777777" w:rsidR="00201D72" w:rsidRDefault="00201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9D21ED" w:rsidRDefault="009D21ED">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6512" w14:textId="77777777" w:rsidR="00201D72" w:rsidRDefault="00201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BCBAE" w14:textId="77777777" w:rsidR="009D21ED" w:rsidRDefault="009D21ED">
      <w:r>
        <w:separator/>
      </w:r>
    </w:p>
  </w:footnote>
  <w:footnote w:type="continuationSeparator" w:id="0">
    <w:p w14:paraId="5207CE79" w14:textId="77777777" w:rsidR="009D21ED" w:rsidRDefault="009D21ED">
      <w:r>
        <w:continuationSeparator/>
      </w:r>
    </w:p>
  </w:footnote>
  <w:footnote w:type="continuationNotice" w:id="1">
    <w:p w14:paraId="6EE7AE1F" w14:textId="77777777" w:rsidR="009D21ED" w:rsidRDefault="009D2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CCBC" w14:textId="77777777" w:rsidR="00201D72" w:rsidRDefault="00201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9D21ED" w:rsidRDefault="009D21ED" w:rsidP="00201D72">
    <w:pPr>
      <w:pStyle w:val="Header"/>
    </w:pPr>
  </w:p>
  <w:tbl>
    <w:tblPr>
      <w:tblW w:w="0" w:type="auto"/>
      <w:tblLook w:val="01E0" w:firstRow="1" w:lastRow="1" w:firstColumn="1" w:lastColumn="1" w:noHBand="0" w:noVBand="0"/>
    </w:tblPr>
    <w:tblGrid>
      <w:gridCol w:w="5850"/>
      <w:gridCol w:w="3221"/>
    </w:tblGrid>
    <w:tr w:rsidR="00201D72" w:rsidRPr="004F266E" w14:paraId="2B20D492" w14:textId="77777777" w:rsidTr="002A2E74">
      <w:tc>
        <w:tcPr>
          <w:tcW w:w="5920" w:type="dxa"/>
          <w:vMerge w:val="restart"/>
          <w:shd w:val="clear" w:color="auto" w:fill="auto"/>
        </w:tcPr>
        <w:p w14:paraId="34E569F9" w14:textId="77777777" w:rsidR="00201D72" w:rsidRPr="00374227" w:rsidRDefault="00201D72" w:rsidP="00201D72">
          <w:pPr>
            <w:pStyle w:val="Header"/>
            <w:tabs>
              <w:tab w:val="clear" w:pos="4153"/>
              <w:tab w:val="clear" w:pos="8306"/>
              <w:tab w:val="left" w:pos="2892"/>
            </w:tabs>
          </w:pPr>
          <w:r>
            <w:rPr>
              <w:noProof/>
            </w:rPr>
            <w:drawing>
              <wp:inline distT="0" distB="0" distL="0" distR="0" wp14:anchorId="367C9BD3" wp14:editId="6572C4CB">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r>
            <w:tab/>
          </w:r>
        </w:p>
      </w:tc>
      <w:tc>
        <w:tcPr>
          <w:tcW w:w="3260" w:type="dxa"/>
          <w:shd w:val="clear" w:color="auto" w:fill="auto"/>
          <w:vAlign w:val="center"/>
        </w:tcPr>
        <w:p w14:paraId="601F482D" w14:textId="77777777" w:rsidR="00201D72" w:rsidRPr="00E7702B" w:rsidRDefault="00201D72" w:rsidP="00201D72">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201D72" w14:paraId="6C9BB3B0" w14:textId="77777777" w:rsidTr="002A2E74">
      <w:trPr>
        <w:trHeight w:val="450"/>
      </w:trPr>
      <w:tc>
        <w:tcPr>
          <w:tcW w:w="5920" w:type="dxa"/>
          <w:vMerge/>
          <w:shd w:val="clear" w:color="auto" w:fill="auto"/>
        </w:tcPr>
        <w:p w14:paraId="25879FEF" w14:textId="77777777" w:rsidR="00201D72" w:rsidRPr="00374227" w:rsidRDefault="00201D72" w:rsidP="00201D72">
          <w:pPr>
            <w:pStyle w:val="Header"/>
          </w:pPr>
        </w:p>
      </w:tc>
      <w:tc>
        <w:tcPr>
          <w:tcW w:w="3260" w:type="dxa"/>
          <w:shd w:val="clear" w:color="auto" w:fill="auto"/>
          <w:vAlign w:val="center"/>
        </w:tcPr>
        <w:p w14:paraId="5F0F64D2" w14:textId="77777777" w:rsidR="00201D72" w:rsidRPr="00374227" w:rsidRDefault="00201D72" w:rsidP="00201D72">
          <w:pPr>
            <w:pStyle w:val="Header"/>
            <w:spacing w:before="60"/>
            <w:rPr>
              <w:rFonts w:ascii="Arial" w:hAnsi="Arial" w:cs="Arial"/>
            </w:rPr>
          </w:pPr>
          <w:r>
            <w:rPr>
              <w:rFonts w:ascii="Arial" w:hAnsi="Arial" w:cs="Arial"/>
            </w:rPr>
            <w:t>14 September</w:t>
          </w:r>
          <w:r w:rsidRPr="0B50786C">
            <w:rPr>
              <w:rFonts w:ascii="Arial" w:hAnsi="Arial" w:cs="Arial"/>
            </w:rPr>
            <w:t xml:space="preserve"> 2018 </w:t>
          </w:r>
        </w:p>
      </w:tc>
    </w:tr>
    <w:tr w:rsidR="00201D72" w:rsidRPr="004F266E" w14:paraId="5D2BD6D1" w14:textId="77777777" w:rsidTr="002A2E74">
      <w:trPr>
        <w:trHeight w:val="708"/>
      </w:trPr>
      <w:tc>
        <w:tcPr>
          <w:tcW w:w="5920" w:type="dxa"/>
          <w:vMerge/>
          <w:shd w:val="clear" w:color="auto" w:fill="auto"/>
        </w:tcPr>
        <w:p w14:paraId="2C495A41" w14:textId="77777777" w:rsidR="00201D72" w:rsidRPr="00374227" w:rsidRDefault="00201D72" w:rsidP="00201D72">
          <w:pPr>
            <w:pStyle w:val="Header"/>
          </w:pPr>
        </w:p>
      </w:tc>
      <w:tc>
        <w:tcPr>
          <w:tcW w:w="3260" w:type="dxa"/>
          <w:shd w:val="clear" w:color="auto" w:fill="auto"/>
          <w:vAlign w:val="center"/>
        </w:tcPr>
        <w:p w14:paraId="15183812" w14:textId="77777777" w:rsidR="00201D72" w:rsidRPr="00374227" w:rsidRDefault="00201D72" w:rsidP="00201D72">
          <w:pPr>
            <w:pStyle w:val="Header"/>
            <w:spacing w:before="60"/>
            <w:rPr>
              <w:rFonts w:ascii="Arial" w:hAnsi="Arial" w:cs="Arial"/>
              <w:b/>
              <w:bCs/>
            </w:rPr>
          </w:pPr>
        </w:p>
      </w:tc>
    </w:tr>
  </w:tbl>
  <w:p w14:paraId="50DC779C" w14:textId="77777777" w:rsidR="00201D72" w:rsidRPr="00201D72" w:rsidRDefault="00201D72" w:rsidP="00201D7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9D21ED" w:rsidRDefault="009D21ED" w:rsidP="00765850">
    <w:pPr>
      <w:pStyle w:val="Header"/>
      <w:rPr>
        <w:sz w:val="2"/>
      </w:rPr>
    </w:pPr>
  </w:p>
  <w:p w14:paraId="3E8322C2" w14:textId="77777777" w:rsidR="009D21ED" w:rsidRDefault="009D21ED"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9D21ED" w:rsidRPr="001D2C76" w14:paraId="3E8322C5" w14:textId="77777777" w:rsidTr="0B50786C">
      <w:tc>
        <w:tcPr>
          <w:tcW w:w="6062" w:type="dxa"/>
          <w:vMerge w:val="restart"/>
        </w:tcPr>
        <w:p w14:paraId="3E8322C3" w14:textId="77777777" w:rsidR="009D21ED" w:rsidRDefault="009D21ED"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9D21ED" w:rsidRPr="001D2C76" w:rsidRDefault="009D21ED" w:rsidP="0B50786C">
          <w:pPr>
            <w:pStyle w:val="Header"/>
            <w:rPr>
              <w:b/>
              <w:bCs/>
            </w:rPr>
          </w:pPr>
          <w:r w:rsidRPr="0B50786C">
            <w:rPr>
              <w:rFonts w:ascii="Arial" w:hAnsi="Arial" w:cs="Arial"/>
              <w:b/>
              <w:bCs/>
              <w:sz w:val="24"/>
              <w:szCs w:val="24"/>
            </w:rPr>
            <w:t>Meeting title</w:t>
          </w:r>
        </w:p>
      </w:tc>
    </w:tr>
    <w:tr w:rsidR="009D21ED" w14:paraId="3E8322C8" w14:textId="77777777" w:rsidTr="0B50786C">
      <w:trPr>
        <w:trHeight w:val="450"/>
      </w:trPr>
      <w:tc>
        <w:tcPr>
          <w:tcW w:w="6062" w:type="dxa"/>
          <w:vMerge/>
        </w:tcPr>
        <w:p w14:paraId="3E8322C6" w14:textId="77777777" w:rsidR="009D21ED" w:rsidRDefault="009D21ED" w:rsidP="00765850">
          <w:pPr>
            <w:pStyle w:val="Header"/>
          </w:pPr>
        </w:p>
      </w:tc>
      <w:tc>
        <w:tcPr>
          <w:tcW w:w="3225" w:type="dxa"/>
        </w:tcPr>
        <w:p w14:paraId="3E8322C7" w14:textId="77777777" w:rsidR="009D21ED" w:rsidRDefault="009D21ED" w:rsidP="00765850">
          <w:pPr>
            <w:pStyle w:val="Header"/>
            <w:spacing w:before="60"/>
          </w:pPr>
          <w:r w:rsidRPr="0B50786C">
            <w:rPr>
              <w:rFonts w:ascii="Arial" w:hAnsi="Arial" w:cs="Arial"/>
              <w:sz w:val="24"/>
              <w:szCs w:val="24"/>
            </w:rPr>
            <w:t xml:space="preserve">Meeting date </w:t>
          </w:r>
        </w:p>
      </w:tc>
    </w:tr>
    <w:tr w:rsidR="009D21ED" w14:paraId="3E8322CC" w14:textId="77777777" w:rsidTr="0B50786C">
      <w:trPr>
        <w:trHeight w:val="450"/>
      </w:trPr>
      <w:tc>
        <w:tcPr>
          <w:tcW w:w="6062" w:type="dxa"/>
          <w:vMerge/>
        </w:tcPr>
        <w:p w14:paraId="3E8322C9" w14:textId="77777777" w:rsidR="009D21ED" w:rsidRDefault="009D21ED" w:rsidP="00765850">
          <w:pPr>
            <w:pStyle w:val="Header"/>
          </w:pPr>
        </w:p>
      </w:tc>
      <w:tc>
        <w:tcPr>
          <w:tcW w:w="3225" w:type="dxa"/>
        </w:tcPr>
        <w:p w14:paraId="3E8322CA" w14:textId="77777777" w:rsidR="009D21ED" w:rsidRDefault="009D21ED" w:rsidP="00765850">
          <w:pPr>
            <w:pStyle w:val="Header"/>
            <w:spacing w:before="60"/>
            <w:rPr>
              <w:rFonts w:ascii="Arial" w:hAnsi="Arial" w:cs="Arial"/>
              <w:b/>
              <w:sz w:val="24"/>
              <w:szCs w:val="24"/>
            </w:rPr>
          </w:pPr>
        </w:p>
        <w:p w14:paraId="3E8322CB" w14:textId="77777777" w:rsidR="009D21ED" w:rsidRPr="00546D0D" w:rsidRDefault="009D21ED"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9D21ED" w:rsidRDefault="009D21ED"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7C1"/>
    <w:multiLevelType w:val="multilevel"/>
    <w:tmpl w:val="34E83A38"/>
    <w:lvl w:ilvl="0">
      <w:start w:val="25"/>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01785"/>
    <w:multiLevelType w:val="multilevel"/>
    <w:tmpl w:val="177C6C12"/>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EB55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CE20D2"/>
    <w:multiLevelType w:val="hybridMultilevel"/>
    <w:tmpl w:val="C43E1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C31B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17"/>
  </w:num>
  <w:num w:numId="4">
    <w:abstractNumId w:val="15"/>
  </w:num>
  <w:num w:numId="5">
    <w:abstractNumId w:val="7"/>
  </w:num>
  <w:num w:numId="6">
    <w:abstractNumId w:val="8"/>
  </w:num>
  <w:num w:numId="7">
    <w:abstractNumId w:val="19"/>
  </w:num>
  <w:num w:numId="8">
    <w:abstractNumId w:val="21"/>
  </w:num>
  <w:num w:numId="9">
    <w:abstractNumId w:val="6"/>
  </w:num>
  <w:num w:numId="10">
    <w:abstractNumId w:val="1"/>
  </w:num>
  <w:num w:numId="11">
    <w:abstractNumId w:val="13"/>
  </w:num>
  <w:num w:numId="12">
    <w:abstractNumId w:val="22"/>
  </w:num>
  <w:num w:numId="13">
    <w:abstractNumId w:val="16"/>
  </w:num>
  <w:num w:numId="14">
    <w:abstractNumId w:val="12"/>
  </w:num>
  <w:num w:numId="15">
    <w:abstractNumId w:val="11"/>
  </w:num>
  <w:num w:numId="16">
    <w:abstractNumId w:val="23"/>
  </w:num>
  <w:num w:numId="17">
    <w:abstractNumId w:val="4"/>
  </w:num>
  <w:num w:numId="18">
    <w:abstractNumId w:val="5"/>
  </w:num>
  <w:num w:numId="19">
    <w:abstractNumId w:val="2"/>
  </w:num>
  <w:num w:numId="20">
    <w:abstractNumId w:val="18"/>
  </w:num>
  <w:num w:numId="21">
    <w:abstractNumId w:val="10"/>
  </w:num>
  <w:num w:numId="22">
    <w:abstractNumId w:val="9"/>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20C26"/>
    <w:rsid w:val="00026B5D"/>
    <w:rsid w:val="00026EF5"/>
    <w:rsid w:val="0002722E"/>
    <w:rsid w:val="00033D53"/>
    <w:rsid w:val="00035A9D"/>
    <w:rsid w:val="00044788"/>
    <w:rsid w:val="00045E33"/>
    <w:rsid w:val="0004771E"/>
    <w:rsid w:val="00052E14"/>
    <w:rsid w:val="000547C1"/>
    <w:rsid w:val="000615F9"/>
    <w:rsid w:val="0006650A"/>
    <w:rsid w:val="00067747"/>
    <w:rsid w:val="0007043F"/>
    <w:rsid w:val="000711BA"/>
    <w:rsid w:val="00071FCE"/>
    <w:rsid w:val="000736D2"/>
    <w:rsid w:val="00084A70"/>
    <w:rsid w:val="000904FA"/>
    <w:rsid w:val="0009056D"/>
    <w:rsid w:val="000930BA"/>
    <w:rsid w:val="00095858"/>
    <w:rsid w:val="000A6C09"/>
    <w:rsid w:val="000B161F"/>
    <w:rsid w:val="000B6EEF"/>
    <w:rsid w:val="000C40A3"/>
    <w:rsid w:val="000C7673"/>
    <w:rsid w:val="000D0154"/>
    <w:rsid w:val="000D394B"/>
    <w:rsid w:val="000D7B6D"/>
    <w:rsid w:val="000E0DE9"/>
    <w:rsid w:val="000E3D0C"/>
    <w:rsid w:val="000E768B"/>
    <w:rsid w:val="000F0A18"/>
    <w:rsid w:val="000F1763"/>
    <w:rsid w:val="000F1E6D"/>
    <w:rsid w:val="000F3BB1"/>
    <w:rsid w:val="00102BFA"/>
    <w:rsid w:val="00103F21"/>
    <w:rsid w:val="00105469"/>
    <w:rsid w:val="00110E60"/>
    <w:rsid w:val="001125B0"/>
    <w:rsid w:val="001140F5"/>
    <w:rsid w:val="00117323"/>
    <w:rsid w:val="00122698"/>
    <w:rsid w:val="00123DEB"/>
    <w:rsid w:val="00124A4F"/>
    <w:rsid w:val="0013030E"/>
    <w:rsid w:val="001447C2"/>
    <w:rsid w:val="001465B1"/>
    <w:rsid w:val="00163B2B"/>
    <w:rsid w:val="0016436C"/>
    <w:rsid w:val="00167CC4"/>
    <w:rsid w:val="00171294"/>
    <w:rsid w:val="001734D0"/>
    <w:rsid w:val="00184A63"/>
    <w:rsid w:val="00185D5B"/>
    <w:rsid w:val="00187AE6"/>
    <w:rsid w:val="0019312A"/>
    <w:rsid w:val="00194078"/>
    <w:rsid w:val="001940B6"/>
    <w:rsid w:val="001A4541"/>
    <w:rsid w:val="001B029E"/>
    <w:rsid w:val="001B324E"/>
    <w:rsid w:val="001B36CE"/>
    <w:rsid w:val="001B7024"/>
    <w:rsid w:val="001C3AF2"/>
    <w:rsid w:val="001C5324"/>
    <w:rsid w:val="001D1A36"/>
    <w:rsid w:val="001D3398"/>
    <w:rsid w:val="001D41E4"/>
    <w:rsid w:val="001D70DE"/>
    <w:rsid w:val="001E2520"/>
    <w:rsid w:val="001E3994"/>
    <w:rsid w:val="001E48D5"/>
    <w:rsid w:val="001E720D"/>
    <w:rsid w:val="001F1FF1"/>
    <w:rsid w:val="001F2984"/>
    <w:rsid w:val="001F6C3D"/>
    <w:rsid w:val="00201574"/>
    <w:rsid w:val="00201D72"/>
    <w:rsid w:val="002048CA"/>
    <w:rsid w:val="00207E80"/>
    <w:rsid w:val="002110E9"/>
    <w:rsid w:val="00215E14"/>
    <w:rsid w:val="0022303A"/>
    <w:rsid w:val="00226F65"/>
    <w:rsid w:val="00231AF4"/>
    <w:rsid w:val="00233856"/>
    <w:rsid w:val="00243DF2"/>
    <w:rsid w:val="00245629"/>
    <w:rsid w:val="002460A9"/>
    <w:rsid w:val="00252295"/>
    <w:rsid w:val="00256711"/>
    <w:rsid w:val="0025763E"/>
    <w:rsid w:val="00262568"/>
    <w:rsid w:val="002634A5"/>
    <w:rsid w:val="002637AF"/>
    <w:rsid w:val="00272225"/>
    <w:rsid w:val="002729D3"/>
    <w:rsid w:val="00274C56"/>
    <w:rsid w:val="00280DF7"/>
    <w:rsid w:val="002836B5"/>
    <w:rsid w:val="00285AEF"/>
    <w:rsid w:val="00290D12"/>
    <w:rsid w:val="002917B4"/>
    <w:rsid w:val="002A0BB1"/>
    <w:rsid w:val="002A252F"/>
    <w:rsid w:val="002A575E"/>
    <w:rsid w:val="002B3BAF"/>
    <w:rsid w:val="002B42C7"/>
    <w:rsid w:val="002C5922"/>
    <w:rsid w:val="002C7039"/>
    <w:rsid w:val="002D1196"/>
    <w:rsid w:val="002E2E00"/>
    <w:rsid w:val="002E6759"/>
    <w:rsid w:val="002F090B"/>
    <w:rsid w:val="002F298F"/>
    <w:rsid w:val="00302A52"/>
    <w:rsid w:val="00307F8D"/>
    <w:rsid w:val="003127D4"/>
    <w:rsid w:val="003156C1"/>
    <w:rsid w:val="00322431"/>
    <w:rsid w:val="00331D2E"/>
    <w:rsid w:val="0033535E"/>
    <w:rsid w:val="003458F3"/>
    <w:rsid w:val="00345A6A"/>
    <w:rsid w:val="00350F19"/>
    <w:rsid w:val="0035509D"/>
    <w:rsid w:val="0035643B"/>
    <w:rsid w:val="00357018"/>
    <w:rsid w:val="0035725C"/>
    <w:rsid w:val="003575A3"/>
    <w:rsid w:val="00357639"/>
    <w:rsid w:val="00360C2E"/>
    <w:rsid w:val="00361686"/>
    <w:rsid w:val="00363AAD"/>
    <w:rsid w:val="00372173"/>
    <w:rsid w:val="00372524"/>
    <w:rsid w:val="003728BF"/>
    <w:rsid w:val="003762EC"/>
    <w:rsid w:val="00377F81"/>
    <w:rsid w:val="003826F4"/>
    <w:rsid w:val="00384D4E"/>
    <w:rsid w:val="00384D53"/>
    <w:rsid w:val="0038643D"/>
    <w:rsid w:val="00392D69"/>
    <w:rsid w:val="00393643"/>
    <w:rsid w:val="00397BC9"/>
    <w:rsid w:val="003A24E7"/>
    <w:rsid w:val="003A6E6B"/>
    <w:rsid w:val="003B32C9"/>
    <w:rsid w:val="003B5F85"/>
    <w:rsid w:val="003C466D"/>
    <w:rsid w:val="003D341C"/>
    <w:rsid w:val="003D3E95"/>
    <w:rsid w:val="003D6380"/>
    <w:rsid w:val="003E56D8"/>
    <w:rsid w:val="003F1439"/>
    <w:rsid w:val="00403E0B"/>
    <w:rsid w:val="00405CDD"/>
    <w:rsid w:val="00411BCD"/>
    <w:rsid w:val="004148A2"/>
    <w:rsid w:val="00414E75"/>
    <w:rsid w:val="004151C2"/>
    <w:rsid w:val="00447101"/>
    <w:rsid w:val="00455B34"/>
    <w:rsid w:val="00455EE4"/>
    <w:rsid w:val="00463758"/>
    <w:rsid w:val="004644FA"/>
    <w:rsid w:val="00464D1C"/>
    <w:rsid w:val="0046729B"/>
    <w:rsid w:val="0047325D"/>
    <w:rsid w:val="00474EA7"/>
    <w:rsid w:val="00475908"/>
    <w:rsid w:val="00483184"/>
    <w:rsid w:val="00483785"/>
    <w:rsid w:val="004852BA"/>
    <w:rsid w:val="00493CE2"/>
    <w:rsid w:val="00496427"/>
    <w:rsid w:val="004A0786"/>
    <w:rsid w:val="004A1811"/>
    <w:rsid w:val="004A7598"/>
    <w:rsid w:val="004B329B"/>
    <w:rsid w:val="004B3EE3"/>
    <w:rsid w:val="004B4CA9"/>
    <w:rsid w:val="004B6713"/>
    <w:rsid w:val="004C1DCF"/>
    <w:rsid w:val="004C3803"/>
    <w:rsid w:val="004D24B8"/>
    <w:rsid w:val="004D6820"/>
    <w:rsid w:val="004D7461"/>
    <w:rsid w:val="005011AD"/>
    <w:rsid w:val="0050353A"/>
    <w:rsid w:val="00504406"/>
    <w:rsid w:val="00504847"/>
    <w:rsid w:val="005074F3"/>
    <w:rsid w:val="005078B2"/>
    <w:rsid w:val="00515398"/>
    <w:rsid w:val="00526447"/>
    <w:rsid w:val="0053172D"/>
    <w:rsid w:val="00535FB6"/>
    <w:rsid w:val="0054330F"/>
    <w:rsid w:val="005465B7"/>
    <w:rsid w:val="00554F76"/>
    <w:rsid w:val="00562824"/>
    <w:rsid w:val="00567752"/>
    <w:rsid w:val="005710F5"/>
    <w:rsid w:val="00583FD2"/>
    <w:rsid w:val="00584A5A"/>
    <w:rsid w:val="0059532E"/>
    <w:rsid w:val="00595E92"/>
    <w:rsid w:val="005965AA"/>
    <w:rsid w:val="005A01EF"/>
    <w:rsid w:val="005A4192"/>
    <w:rsid w:val="005B3F02"/>
    <w:rsid w:val="005C00A6"/>
    <w:rsid w:val="005C071A"/>
    <w:rsid w:val="005C3CE3"/>
    <w:rsid w:val="005C630F"/>
    <w:rsid w:val="005C7934"/>
    <w:rsid w:val="005D7E1C"/>
    <w:rsid w:val="005E2667"/>
    <w:rsid w:val="005E5B9F"/>
    <w:rsid w:val="005E61A4"/>
    <w:rsid w:val="005F126E"/>
    <w:rsid w:val="005F5C3F"/>
    <w:rsid w:val="00605B0F"/>
    <w:rsid w:val="00611B38"/>
    <w:rsid w:val="00612E8B"/>
    <w:rsid w:val="006130CA"/>
    <w:rsid w:val="00616911"/>
    <w:rsid w:val="00616B56"/>
    <w:rsid w:val="0064210A"/>
    <w:rsid w:val="00643014"/>
    <w:rsid w:val="00643A6D"/>
    <w:rsid w:val="006539AA"/>
    <w:rsid w:val="0065748B"/>
    <w:rsid w:val="00675B2B"/>
    <w:rsid w:val="00682B3A"/>
    <w:rsid w:val="00686998"/>
    <w:rsid w:val="00691E2B"/>
    <w:rsid w:val="00697394"/>
    <w:rsid w:val="006C6C72"/>
    <w:rsid w:val="006D1560"/>
    <w:rsid w:val="006E0650"/>
    <w:rsid w:val="006E46D2"/>
    <w:rsid w:val="006E5B51"/>
    <w:rsid w:val="006E63EB"/>
    <w:rsid w:val="006F26D0"/>
    <w:rsid w:val="006F6DB2"/>
    <w:rsid w:val="006F79FD"/>
    <w:rsid w:val="00704C09"/>
    <w:rsid w:val="007064C2"/>
    <w:rsid w:val="00706ED4"/>
    <w:rsid w:val="00707CC5"/>
    <w:rsid w:val="00711811"/>
    <w:rsid w:val="00711FCA"/>
    <w:rsid w:val="00720BE8"/>
    <w:rsid w:val="00721012"/>
    <w:rsid w:val="00723CBD"/>
    <w:rsid w:val="00727092"/>
    <w:rsid w:val="0073547D"/>
    <w:rsid w:val="0073574F"/>
    <w:rsid w:val="0073658D"/>
    <w:rsid w:val="00741346"/>
    <w:rsid w:val="00755E29"/>
    <w:rsid w:val="007562C6"/>
    <w:rsid w:val="00760B1A"/>
    <w:rsid w:val="00761D39"/>
    <w:rsid w:val="00765850"/>
    <w:rsid w:val="00766459"/>
    <w:rsid w:val="00771760"/>
    <w:rsid w:val="0077233D"/>
    <w:rsid w:val="00772D46"/>
    <w:rsid w:val="007732B0"/>
    <w:rsid w:val="00775D27"/>
    <w:rsid w:val="00776298"/>
    <w:rsid w:val="00776798"/>
    <w:rsid w:val="007845F7"/>
    <w:rsid w:val="00784A39"/>
    <w:rsid w:val="00793A69"/>
    <w:rsid w:val="00793AB3"/>
    <w:rsid w:val="00794647"/>
    <w:rsid w:val="00797462"/>
    <w:rsid w:val="007977F7"/>
    <w:rsid w:val="007A105B"/>
    <w:rsid w:val="007A1E8F"/>
    <w:rsid w:val="007A347D"/>
    <w:rsid w:val="007A6AA2"/>
    <w:rsid w:val="007B6604"/>
    <w:rsid w:val="007C1506"/>
    <w:rsid w:val="007C5B3E"/>
    <w:rsid w:val="007D056F"/>
    <w:rsid w:val="007D4A06"/>
    <w:rsid w:val="007E26AD"/>
    <w:rsid w:val="007E7613"/>
    <w:rsid w:val="007F2A5F"/>
    <w:rsid w:val="00801C74"/>
    <w:rsid w:val="00804543"/>
    <w:rsid w:val="00806D25"/>
    <w:rsid w:val="00820FF5"/>
    <w:rsid w:val="00826D51"/>
    <w:rsid w:val="0083371E"/>
    <w:rsid w:val="00834D5B"/>
    <w:rsid w:val="00841D53"/>
    <w:rsid w:val="00846078"/>
    <w:rsid w:val="00847C6A"/>
    <w:rsid w:val="00851ED6"/>
    <w:rsid w:val="00857A36"/>
    <w:rsid w:val="00861001"/>
    <w:rsid w:val="008732E7"/>
    <w:rsid w:val="00891AE9"/>
    <w:rsid w:val="008924D9"/>
    <w:rsid w:val="008928F2"/>
    <w:rsid w:val="00894030"/>
    <w:rsid w:val="008974A3"/>
    <w:rsid w:val="008974B1"/>
    <w:rsid w:val="008A0BE6"/>
    <w:rsid w:val="008A15AD"/>
    <w:rsid w:val="008B1A03"/>
    <w:rsid w:val="008B37DA"/>
    <w:rsid w:val="008C18E0"/>
    <w:rsid w:val="008C191A"/>
    <w:rsid w:val="008C1F9E"/>
    <w:rsid w:val="008C5EF1"/>
    <w:rsid w:val="008D0481"/>
    <w:rsid w:val="008D4B51"/>
    <w:rsid w:val="008E24CB"/>
    <w:rsid w:val="008F13CC"/>
    <w:rsid w:val="008F15D9"/>
    <w:rsid w:val="008F40B9"/>
    <w:rsid w:val="009051A0"/>
    <w:rsid w:val="00907D6C"/>
    <w:rsid w:val="00910671"/>
    <w:rsid w:val="00910D34"/>
    <w:rsid w:val="00922614"/>
    <w:rsid w:val="00925721"/>
    <w:rsid w:val="00931183"/>
    <w:rsid w:val="00931E71"/>
    <w:rsid w:val="009330D3"/>
    <w:rsid w:val="00935031"/>
    <w:rsid w:val="0093598C"/>
    <w:rsid w:val="0094219A"/>
    <w:rsid w:val="00943148"/>
    <w:rsid w:val="009457B3"/>
    <w:rsid w:val="00945E25"/>
    <w:rsid w:val="009462AD"/>
    <w:rsid w:val="00957880"/>
    <w:rsid w:val="00967417"/>
    <w:rsid w:val="00970E17"/>
    <w:rsid w:val="00972A0D"/>
    <w:rsid w:val="00973971"/>
    <w:rsid w:val="00981B0B"/>
    <w:rsid w:val="0098281E"/>
    <w:rsid w:val="00983960"/>
    <w:rsid w:val="00984A11"/>
    <w:rsid w:val="00985781"/>
    <w:rsid w:val="00987354"/>
    <w:rsid w:val="00987DFC"/>
    <w:rsid w:val="00992E96"/>
    <w:rsid w:val="0099544E"/>
    <w:rsid w:val="009A3EF7"/>
    <w:rsid w:val="009A61B9"/>
    <w:rsid w:val="009B5DD2"/>
    <w:rsid w:val="009C5010"/>
    <w:rsid w:val="009C5CDB"/>
    <w:rsid w:val="009D1CF8"/>
    <w:rsid w:val="009D21ED"/>
    <w:rsid w:val="009D64EC"/>
    <w:rsid w:val="009D7B95"/>
    <w:rsid w:val="009E3119"/>
    <w:rsid w:val="009E561E"/>
    <w:rsid w:val="009E63C7"/>
    <w:rsid w:val="00A055A8"/>
    <w:rsid w:val="00A05F72"/>
    <w:rsid w:val="00A17529"/>
    <w:rsid w:val="00A22E2D"/>
    <w:rsid w:val="00A23341"/>
    <w:rsid w:val="00A328E4"/>
    <w:rsid w:val="00A334A4"/>
    <w:rsid w:val="00A362F5"/>
    <w:rsid w:val="00A40FAF"/>
    <w:rsid w:val="00A50517"/>
    <w:rsid w:val="00A60C1E"/>
    <w:rsid w:val="00A720C7"/>
    <w:rsid w:val="00A7220F"/>
    <w:rsid w:val="00A73DF6"/>
    <w:rsid w:val="00A7746B"/>
    <w:rsid w:val="00A9257E"/>
    <w:rsid w:val="00A93789"/>
    <w:rsid w:val="00A93C8F"/>
    <w:rsid w:val="00A947C2"/>
    <w:rsid w:val="00A9638E"/>
    <w:rsid w:val="00AB16FA"/>
    <w:rsid w:val="00AC2D42"/>
    <w:rsid w:val="00AC367C"/>
    <w:rsid w:val="00AC63E8"/>
    <w:rsid w:val="00AC6FD4"/>
    <w:rsid w:val="00AD1143"/>
    <w:rsid w:val="00AF562C"/>
    <w:rsid w:val="00AF7F6D"/>
    <w:rsid w:val="00B01FD3"/>
    <w:rsid w:val="00B055AB"/>
    <w:rsid w:val="00B075D9"/>
    <w:rsid w:val="00B10728"/>
    <w:rsid w:val="00B12198"/>
    <w:rsid w:val="00B14E17"/>
    <w:rsid w:val="00B215F9"/>
    <w:rsid w:val="00B2250E"/>
    <w:rsid w:val="00B23DA6"/>
    <w:rsid w:val="00B26650"/>
    <w:rsid w:val="00B27F61"/>
    <w:rsid w:val="00B4271B"/>
    <w:rsid w:val="00B44A03"/>
    <w:rsid w:val="00B5131B"/>
    <w:rsid w:val="00B6242A"/>
    <w:rsid w:val="00B8491E"/>
    <w:rsid w:val="00B93BDE"/>
    <w:rsid w:val="00BA0B9C"/>
    <w:rsid w:val="00BA2BD2"/>
    <w:rsid w:val="00BA447F"/>
    <w:rsid w:val="00BA75E7"/>
    <w:rsid w:val="00BB1130"/>
    <w:rsid w:val="00BB78F7"/>
    <w:rsid w:val="00BC4D97"/>
    <w:rsid w:val="00BD12CF"/>
    <w:rsid w:val="00BD1550"/>
    <w:rsid w:val="00BD1EC5"/>
    <w:rsid w:val="00BD33C0"/>
    <w:rsid w:val="00BD615A"/>
    <w:rsid w:val="00BE0F05"/>
    <w:rsid w:val="00BE13B5"/>
    <w:rsid w:val="00BE3E02"/>
    <w:rsid w:val="00BE58F2"/>
    <w:rsid w:val="00BE65F9"/>
    <w:rsid w:val="00BF0960"/>
    <w:rsid w:val="00BF2FDD"/>
    <w:rsid w:val="00BF3975"/>
    <w:rsid w:val="00BF62A4"/>
    <w:rsid w:val="00C01CBC"/>
    <w:rsid w:val="00C023EF"/>
    <w:rsid w:val="00C03562"/>
    <w:rsid w:val="00C06C62"/>
    <w:rsid w:val="00C07892"/>
    <w:rsid w:val="00C12DBD"/>
    <w:rsid w:val="00C35E15"/>
    <w:rsid w:val="00C40724"/>
    <w:rsid w:val="00C44A77"/>
    <w:rsid w:val="00C44FD0"/>
    <w:rsid w:val="00C57811"/>
    <w:rsid w:val="00C57F96"/>
    <w:rsid w:val="00C60083"/>
    <w:rsid w:val="00C67BA9"/>
    <w:rsid w:val="00C83C08"/>
    <w:rsid w:val="00C93D54"/>
    <w:rsid w:val="00CA0FAF"/>
    <w:rsid w:val="00CA5AD6"/>
    <w:rsid w:val="00CA7C80"/>
    <w:rsid w:val="00CB2292"/>
    <w:rsid w:val="00CB23E6"/>
    <w:rsid w:val="00CB2EDA"/>
    <w:rsid w:val="00CB5A71"/>
    <w:rsid w:val="00CC2D15"/>
    <w:rsid w:val="00CC6641"/>
    <w:rsid w:val="00CD0A6A"/>
    <w:rsid w:val="00CE4E4A"/>
    <w:rsid w:val="00CE539F"/>
    <w:rsid w:val="00CF43E4"/>
    <w:rsid w:val="00CF4C3D"/>
    <w:rsid w:val="00CF4D40"/>
    <w:rsid w:val="00CF6100"/>
    <w:rsid w:val="00CF618F"/>
    <w:rsid w:val="00D0001F"/>
    <w:rsid w:val="00D011CE"/>
    <w:rsid w:val="00D133A1"/>
    <w:rsid w:val="00D146C8"/>
    <w:rsid w:val="00D14D25"/>
    <w:rsid w:val="00D21A72"/>
    <w:rsid w:val="00D23603"/>
    <w:rsid w:val="00D238F1"/>
    <w:rsid w:val="00D245B5"/>
    <w:rsid w:val="00D24C8C"/>
    <w:rsid w:val="00D30A52"/>
    <w:rsid w:val="00D36C5A"/>
    <w:rsid w:val="00D414E9"/>
    <w:rsid w:val="00D45B4D"/>
    <w:rsid w:val="00D535B5"/>
    <w:rsid w:val="00D53F1B"/>
    <w:rsid w:val="00D540E7"/>
    <w:rsid w:val="00D64A0B"/>
    <w:rsid w:val="00D711A7"/>
    <w:rsid w:val="00D716EF"/>
    <w:rsid w:val="00D74C85"/>
    <w:rsid w:val="00D7705B"/>
    <w:rsid w:val="00D80F16"/>
    <w:rsid w:val="00D85CF5"/>
    <w:rsid w:val="00D91E1D"/>
    <w:rsid w:val="00DA422E"/>
    <w:rsid w:val="00DA479A"/>
    <w:rsid w:val="00DA67CB"/>
    <w:rsid w:val="00DB4B25"/>
    <w:rsid w:val="00DE06FF"/>
    <w:rsid w:val="00DE17F5"/>
    <w:rsid w:val="00DE20FF"/>
    <w:rsid w:val="00DE42C0"/>
    <w:rsid w:val="00DF09AF"/>
    <w:rsid w:val="00DF0DB7"/>
    <w:rsid w:val="00DF3089"/>
    <w:rsid w:val="00E00CF4"/>
    <w:rsid w:val="00E00F0D"/>
    <w:rsid w:val="00E02113"/>
    <w:rsid w:val="00E05C84"/>
    <w:rsid w:val="00E06575"/>
    <w:rsid w:val="00E0711E"/>
    <w:rsid w:val="00E141C8"/>
    <w:rsid w:val="00E1448D"/>
    <w:rsid w:val="00E20742"/>
    <w:rsid w:val="00E26CE4"/>
    <w:rsid w:val="00E4050D"/>
    <w:rsid w:val="00E43C58"/>
    <w:rsid w:val="00E4588F"/>
    <w:rsid w:val="00E5572C"/>
    <w:rsid w:val="00E6275F"/>
    <w:rsid w:val="00E636C6"/>
    <w:rsid w:val="00E636E2"/>
    <w:rsid w:val="00E64002"/>
    <w:rsid w:val="00E643E4"/>
    <w:rsid w:val="00E70827"/>
    <w:rsid w:val="00E73D2D"/>
    <w:rsid w:val="00E760AB"/>
    <w:rsid w:val="00E76BCF"/>
    <w:rsid w:val="00E76DFD"/>
    <w:rsid w:val="00E77471"/>
    <w:rsid w:val="00E802DF"/>
    <w:rsid w:val="00E8044E"/>
    <w:rsid w:val="00E81B2D"/>
    <w:rsid w:val="00E81C38"/>
    <w:rsid w:val="00E83E99"/>
    <w:rsid w:val="00E914DD"/>
    <w:rsid w:val="00E940E4"/>
    <w:rsid w:val="00E96316"/>
    <w:rsid w:val="00EA15A3"/>
    <w:rsid w:val="00EA5002"/>
    <w:rsid w:val="00EB1BDF"/>
    <w:rsid w:val="00EB4CFF"/>
    <w:rsid w:val="00EC2F97"/>
    <w:rsid w:val="00EC7ED0"/>
    <w:rsid w:val="00ED14A3"/>
    <w:rsid w:val="00ED3BDE"/>
    <w:rsid w:val="00ED561E"/>
    <w:rsid w:val="00ED60BA"/>
    <w:rsid w:val="00EE1EC8"/>
    <w:rsid w:val="00EE6F2A"/>
    <w:rsid w:val="00EF6827"/>
    <w:rsid w:val="00F015BD"/>
    <w:rsid w:val="00F05643"/>
    <w:rsid w:val="00F116E9"/>
    <w:rsid w:val="00F135BD"/>
    <w:rsid w:val="00F212AE"/>
    <w:rsid w:val="00F246BE"/>
    <w:rsid w:val="00F30975"/>
    <w:rsid w:val="00F32277"/>
    <w:rsid w:val="00F42512"/>
    <w:rsid w:val="00F46CD5"/>
    <w:rsid w:val="00F472E6"/>
    <w:rsid w:val="00F47816"/>
    <w:rsid w:val="00F522C7"/>
    <w:rsid w:val="00F53361"/>
    <w:rsid w:val="00F6116C"/>
    <w:rsid w:val="00F71C80"/>
    <w:rsid w:val="00F75F76"/>
    <w:rsid w:val="00F82574"/>
    <w:rsid w:val="00F83CAB"/>
    <w:rsid w:val="00F83CEE"/>
    <w:rsid w:val="00F83D41"/>
    <w:rsid w:val="00F86458"/>
    <w:rsid w:val="00F965AD"/>
    <w:rsid w:val="00F97F33"/>
    <w:rsid w:val="00FA06FF"/>
    <w:rsid w:val="00FA0D7C"/>
    <w:rsid w:val="00FA4197"/>
    <w:rsid w:val="00FA4F69"/>
    <w:rsid w:val="00FB09B6"/>
    <w:rsid w:val="00FB1421"/>
    <w:rsid w:val="00FB5BE3"/>
    <w:rsid w:val="00FB68AE"/>
    <w:rsid w:val="00FC0047"/>
    <w:rsid w:val="00FD1AC2"/>
    <w:rsid w:val="00FD304C"/>
    <w:rsid w:val="00FD6AF6"/>
    <w:rsid w:val="00FE1BF3"/>
    <w:rsid w:val="00FF125B"/>
    <w:rsid w:val="00FF29E0"/>
    <w:rsid w:val="00FF49DC"/>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9D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10149929">
      <w:bodyDiv w:val="1"/>
      <w:marLeft w:val="0"/>
      <w:marRight w:val="0"/>
      <w:marTop w:val="0"/>
      <w:marBottom w:val="0"/>
      <w:divBdr>
        <w:top w:val="none" w:sz="0" w:space="0" w:color="auto"/>
        <w:left w:val="none" w:sz="0" w:space="0" w:color="auto"/>
        <w:bottom w:val="none" w:sz="0" w:space="0" w:color="auto"/>
        <w:right w:val="none" w:sz="0" w:space="0" w:color="auto"/>
      </w:divBdr>
      <w:divsChild>
        <w:div w:id="1256551361">
          <w:marLeft w:val="0"/>
          <w:marRight w:val="0"/>
          <w:marTop w:val="0"/>
          <w:marBottom w:val="0"/>
          <w:divBdr>
            <w:top w:val="none" w:sz="0" w:space="0" w:color="auto"/>
            <w:left w:val="none" w:sz="0" w:space="0" w:color="auto"/>
            <w:bottom w:val="none" w:sz="0" w:space="0" w:color="auto"/>
            <w:right w:val="none" w:sz="0" w:space="0" w:color="auto"/>
          </w:divBdr>
          <w:divsChild>
            <w:div w:id="1822765932">
              <w:marLeft w:val="0"/>
              <w:marRight w:val="0"/>
              <w:marTop w:val="0"/>
              <w:marBottom w:val="0"/>
              <w:divBdr>
                <w:top w:val="none" w:sz="0" w:space="0" w:color="auto"/>
                <w:left w:val="none" w:sz="0" w:space="0" w:color="auto"/>
                <w:bottom w:val="none" w:sz="0" w:space="0" w:color="auto"/>
                <w:right w:val="none" w:sz="0" w:space="0" w:color="auto"/>
              </w:divBdr>
              <w:divsChild>
                <w:div w:id="2170221">
                  <w:marLeft w:val="0"/>
                  <w:marRight w:val="0"/>
                  <w:marTop w:val="0"/>
                  <w:marBottom w:val="0"/>
                  <w:divBdr>
                    <w:top w:val="none" w:sz="0" w:space="0" w:color="auto"/>
                    <w:left w:val="none" w:sz="0" w:space="0" w:color="auto"/>
                    <w:bottom w:val="none" w:sz="0" w:space="0" w:color="auto"/>
                    <w:right w:val="none" w:sz="0" w:space="0" w:color="auto"/>
                  </w:divBdr>
                  <w:divsChild>
                    <w:div w:id="1730953307">
                      <w:marLeft w:val="0"/>
                      <w:marRight w:val="0"/>
                      <w:marTop w:val="0"/>
                      <w:marBottom w:val="0"/>
                      <w:divBdr>
                        <w:top w:val="none" w:sz="0" w:space="0" w:color="auto"/>
                        <w:left w:val="none" w:sz="0" w:space="0" w:color="auto"/>
                        <w:bottom w:val="none" w:sz="0" w:space="0" w:color="auto"/>
                        <w:right w:val="none" w:sz="0" w:space="0" w:color="auto"/>
                      </w:divBdr>
                      <w:divsChild>
                        <w:div w:id="1764063850">
                          <w:marLeft w:val="0"/>
                          <w:marRight w:val="0"/>
                          <w:marTop w:val="0"/>
                          <w:marBottom w:val="0"/>
                          <w:divBdr>
                            <w:top w:val="none" w:sz="0" w:space="0" w:color="auto"/>
                            <w:left w:val="none" w:sz="0" w:space="0" w:color="auto"/>
                            <w:bottom w:val="none" w:sz="0" w:space="0" w:color="auto"/>
                            <w:right w:val="none" w:sz="0" w:space="0" w:color="auto"/>
                          </w:divBdr>
                          <w:divsChild>
                            <w:div w:id="1268390746">
                              <w:marLeft w:val="0"/>
                              <w:marRight w:val="0"/>
                              <w:marTop w:val="0"/>
                              <w:marBottom w:val="0"/>
                              <w:divBdr>
                                <w:top w:val="none" w:sz="0" w:space="0" w:color="auto"/>
                                <w:left w:val="none" w:sz="0" w:space="0" w:color="auto"/>
                                <w:bottom w:val="none" w:sz="0" w:space="0" w:color="auto"/>
                                <w:right w:val="none" w:sz="0" w:space="0" w:color="auto"/>
                              </w:divBdr>
                              <w:divsChild>
                                <w:div w:id="1991668653">
                                  <w:marLeft w:val="0"/>
                                  <w:marRight w:val="0"/>
                                  <w:marTop w:val="0"/>
                                  <w:marBottom w:val="0"/>
                                  <w:divBdr>
                                    <w:top w:val="none" w:sz="0" w:space="0" w:color="auto"/>
                                    <w:left w:val="none" w:sz="0" w:space="0" w:color="auto"/>
                                    <w:bottom w:val="none" w:sz="0" w:space="0" w:color="auto"/>
                                    <w:right w:val="none" w:sz="0" w:space="0" w:color="auto"/>
                                  </w:divBdr>
                                  <w:divsChild>
                                    <w:div w:id="1038966977">
                                      <w:marLeft w:val="0"/>
                                      <w:marRight w:val="0"/>
                                      <w:marTop w:val="0"/>
                                      <w:marBottom w:val="0"/>
                                      <w:divBdr>
                                        <w:top w:val="none" w:sz="0" w:space="0" w:color="auto"/>
                                        <w:left w:val="none" w:sz="0" w:space="0" w:color="auto"/>
                                        <w:bottom w:val="none" w:sz="0" w:space="0" w:color="auto"/>
                                        <w:right w:val="none" w:sz="0" w:space="0" w:color="auto"/>
                                      </w:divBdr>
                                      <w:divsChild>
                                        <w:div w:id="409087568">
                                          <w:marLeft w:val="0"/>
                                          <w:marRight w:val="0"/>
                                          <w:marTop w:val="0"/>
                                          <w:marBottom w:val="0"/>
                                          <w:divBdr>
                                            <w:top w:val="none" w:sz="0" w:space="0" w:color="auto"/>
                                            <w:left w:val="none" w:sz="0" w:space="0" w:color="auto"/>
                                            <w:bottom w:val="none" w:sz="0" w:space="0" w:color="auto"/>
                                            <w:right w:val="none" w:sz="0" w:space="0" w:color="auto"/>
                                          </w:divBdr>
                                          <w:divsChild>
                                            <w:div w:id="1141191501">
                                              <w:marLeft w:val="0"/>
                                              <w:marRight w:val="0"/>
                                              <w:marTop w:val="0"/>
                                              <w:marBottom w:val="0"/>
                                              <w:divBdr>
                                                <w:top w:val="none" w:sz="0" w:space="0" w:color="auto"/>
                                                <w:left w:val="none" w:sz="0" w:space="0" w:color="auto"/>
                                                <w:bottom w:val="none" w:sz="0" w:space="0" w:color="auto"/>
                                                <w:right w:val="none" w:sz="0" w:space="0" w:color="auto"/>
                                              </w:divBdr>
                                              <w:divsChild>
                                                <w:div w:id="1136409205">
                                                  <w:marLeft w:val="0"/>
                                                  <w:marRight w:val="0"/>
                                                  <w:marTop w:val="0"/>
                                                  <w:marBottom w:val="0"/>
                                                  <w:divBdr>
                                                    <w:top w:val="none" w:sz="0" w:space="0" w:color="auto"/>
                                                    <w:left w:val="none" w:sz="0" w:space="0" w:color="auto"/>
                                                    <w:bottom w:val="none" w:sz="0" w:space="0" w:color="auto"/>
                                                    <w:right w:val="none" w:sz="0" w:space="0" w:color="auto"/>
                                                  </w:divBdr>
                                                  <w:divsChild>
                                                    <w:div w:id="574170837">
                                                      <w:marLeft w:val="0"/>
                                                      <w:marRight w:val="0"/>
                                                      <w:marTop w:val="0"/>
                                                      <w:marBottom w:val="0"/>
                                                      <w:divBdr>
                                                        <w:top w:val="single" w:sz="12" w:space="0" w:color="ABABAB"/>
                                                        <w:left w:val="single" w:sz="6" w:space="0" w:color="ABABAB"/>
                                                        <w:bottom w:val="none" w:sz="0" w:space="0" w:color="auto"/>
                                                        <w:right w:val="single" w:sz="6" w:space="0" w:color="ABABAB"/>
                                                      </w:divBdr>
                                                      <w:divsChild>
                                                        <w:div w:id="800881800">
                                                          <w:marLeft w:val="0"/>
                                                          <w:marRight w:val="0"/>
                                                          <w:marTop w:val="0"/>
                                                          <w:marBottom w:val="0"/>
                                                          <w:divBdr>
                                                            <w:top w:val="none" w:sz="0" w:space="0" w:color="auto"/>
                                                            <w:left w:val="none" w:sz="0" w:space="0" w:color="auto"/>
                                                            <w:bottom w:val="none" w:sz="0" w:space="0" w:color="auto"/>
                                                            <w:right w:val="none" w:sz="0" w:space="0" w:color="auto"/>
                                                          </w:divBdr>
                                                          <w:divsChild>
                                                            <w:div w:id="1176504268">
                                                              <w:marLeft w:val="0"/>
                                                              <w:marRight w:val="0"/>
                                                              <w:marTop w:val="0"/>
                                                              <w:marBottom w:val="0"/>
                                                              <w:divBdr>
                                                                <w:top w:val="none" w:sz="0" w:space="0" w:color="auto"/>
                                                                <w:left w:val="none" w:sz="0" w:space="0" w:color="auto"/>
                                                                <w:bottom w:val="none" w:sz="0" w:space="0" w:color="auto"/>
                                                                <w:right w:val="none" w:sz="0" w:space="0" w:color="auto"/>
                                                              </w:divBdr>
                                                              <w:divsChild>
                                                                <w:div w:id="1855348">
                                                                  <w:marLeft w:val="0"/>
                                                                  <w:marRight w:val="0"/>
                                                                  <w:marTop w:val="0"/>
                                                                  <w:marBottom w:val="0"/>
                                                                  <w:divBdr>
                                                                    <w:top w:val="none" w:sz="0" w:space="0" w:color="auto"/>
                                                                    <w:left w:val="none" w:sz="0" w:space="0" w:color="auto"/>
                                                                    <w:bottom w:val="none" w:sz="0" w:space="0" w:color="auto"/>
                                                                    <w:right w:val="none" w:sz="0" w:space="0" w:color="auto"/>
                                                                  </w:divBdr>
                                                                  <w:divsChild>
                                                                    <w:div w:id="969091185">
                                                                      <w:marLeft w:val="0"/>
                                                                      <w:marRight w:val="0"/>
                                                                      <w:marTop w:val="0"/>
                                                                      <w:marBottom w:val="0"/>
                                                                      <w:divBdr>
                                                                        <w:top w:val="none" w:sz="0" w:space="0" w:color="auto"/>
                                                                        <w:left w:val="none" w:sz="0" w:space="0" w:color="auto"/>
                                                                        <w:bottom w:val="none" w:sz="0" w:space="0" w:color="auto"/>
                                                                        <w:right w:val="none" w:sz="0" w:space="0" w:color="auto"/>
                                                                      </w:divBdr>
                                                                      <w:divsChild>
                                                                        <w:div w:id="765737759">
                                                                          <w:marLeft w:val="0"/>
                                                                          <w:marRight w:val="0"/>
                                                                          <w:marTop w:val="0"/>
                                                                          <w:marBottom w:val="0"/>
                                                                          <w:divBdr>
                                                                            <w:top w:val="none" w:sz="0" w:space="0" w:color="auto"/>
                                                                            <w:left w:val="none" w:sz="0" w:space="0" w:color="auto"/>
                                                                            <w:bottom w:val="none" w:sz="0" w:space="0" w:color="auto"/>
                                                                            <w:right w:val="none" w:sz="0" w:space="0" w:color="auto"/>
                                                                          </w:divBdr>
                                                                          <w:divsChild>
                                                                            <w:div w:id="19954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ocal.gov.uk/sites/default/files/documents/Criteria%20for%20evaluating%20fair%20funding%20review%20proposals%20%28NR%20TWG%2018%2010%29.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ocal.gov.uk/fair-funding-review-modelling-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ocal.gov.uk/sites/default/files/documents/Divergence%20of%20relative%20needs%20over%20time%20%28NR%20TWG%2018%2009%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d48ab6e22655d3227d84aef317fa69c">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21f771fd50b01f5946e39511c5337dc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846c3db3-041b-47fd-b02b-1debea70191d"/>
    <ds:schemaRef ds:uri="33320922-3aa3-40cb-b26e-1bfebf933094"/>
    <ds:schemaRef ds:uri="http://schemas.microsoft.com/office/2006/metadata/properties"/>
  </ds:schemaRefs>
</ds:datastoreItem>
</file>

<file path=customXml/itemProps3.xml><?xml version="1.0" encoding="utf-8"?>
<ds:datastoreItem xmlns:ds="http://schemas.openxmlformats.org/officeDocument/2006/customXml" ds:itemID="{1E911EE5-3B96-4B7C-92C8-210333E2F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A24C6-A72C-437F-89DC-EF463BAB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80408049</Template>
  <TotalTime>12</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4</cp:revision>
  <cp:lastPrinted>2018-08-24T09:55:00Z</cp:lastPrinted>
  <dcterms:created xsi:type="dcterms:W3CDTF">2018-09-06T11:40:00Z</dcterms:created>
  <dcterms:modified xsi:type="dcterms:W3CDTF">2018-09-07T14:21:00Z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